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56F" w:rsidRDefault="009813CB">
      <w:pPr>
        <w:spacing w:before="760" w:after="160"/>
        <w:jc w:val="center"/>
        <w:rPr>
          <w:rFonts w:hint="eastAsia"/>
        </w:rPr>
      </w:pPr>
      <w:r>
        <w:rPr>
          <w:rFonts w:cs="Times New Roman"/>
          <w:b/>
          <w:color w:val="087F5B"/>
          <w:rtl/>
        </w:rPr>
        <w:t>نموذج سياسات الموارد البشرية</w:t>
      </w:r>
    </w:p>
    <w:p w:rsidR="004B456F" w:rsidRDefault="009813CB">
      <w:pPr>
        <w:spacing w:after="160"/>
        <w:jc w:val="center"/>
        <w:rPr>
          <w:rFonts w:hint="eastAsia"/>
        </w:rPr>
      </w:pPr>
      <w:r>
        <w:rPr>
          <w:rFonts w:cs="Times New Roman"/>
          <w:b/>
          <w:color w:val="17243A"/>
          <w:sz w:val="54"/>
          <w:rtl/>
        </w:rPr>
        <w:t>سياسة الأجور والتعويضات</w:t>
      </w:r>
    </w:p>
    <w:p w:rsidR="004B456F" w:rsidRDefault="009813CB">
      <w:pPr>
        <w:spacing w:after="480"/>
        <w:jc w:val="center"/>
        <w:rPr>
          <w:rFonts w:hint="eastAsia"/>
        </w:rPr>
      </w:pPr>
      <w:r>
        <w:rPr>
          <w:rFonts w:cs="Times New Roman"/>
          <w:color w:val="667085"/>
          <w:sz w:val="24"/>
          <w:rtl/>
        </w:rPr>
        <w:t>قالب استرشادي عام قابل للتعديل للمنشآت في المملكة العربية السعودية</w:t>
      </w:r>
    </w:p>
    <w:tbl>
      <w:tblPr>
        <w:tblStyle w:val="afa"/>
        <w:tblW w:w="9360" w:type="dxa"/>
        <w:tblInd w:w="120" w:type="dxa"/>
        <w:tblLayout w:type="fixed"/>
        <w:tblLook w:val="04A0" w:firstRow="1" w:lastRow="0" w:firstColumn="1" w:lastColumn="0" w:noHBand="0" w:noVBand="1"/>
      </w:tblPr>
      <w:tblGrid>
        <w:gridCol w:w="1500"/>
        <w:gridCol w:w="3180"/>
        <w:gridCol w:w="1500"/>
        <w:gridCol w:w="3180"/>
      </w:tblGrid>
      <w:tr w:rsidR="004B456F">
        <w:tc>
          <w:tcPr>
            <w:tcW w:w="1500" w:type="dxa"/>
            <w:shd w:val="clear" w:color="auto" w:fill="E8EEF5"/>
            <w:tcMar>
              <w:top w:w="100" w:type="dxa"/>
              <w:left w:w="130" w:type="dxa"/>
              <w:bottom w:w="100" w:type="dxa"/>
              <w:right w:w="130" w:type="dxa"/>
            </w:tcMar>
          </w:tcPr>
          <w:p w:rsidR="004B456F" w:rsidRDefault="009813CB" w:rsidP="00DD0B97">
            <w:pPr>
              <w:spacing w:after="0"/>
              <w:jc w:val="left"/>
              <w:rPr>
                <w:rFonts w:hint="eastAsia"/>
              </w:rPr>
            </w:pPr>
            <w:r>
              <w:rPr>
                <w:rFonts w:cs="Times New Roman"/>
                <w:b/>
                <w:color w:val="17243A"/>
                <w:sz w:val="18"/>
                <w:rtl/>
              </w:rPr>
              <w:t>اسم المنشأة</w:t>
            </w:r>
          </w:p>
        </w:tc>
        <w:tc>
          <w:tcPr>
            <w:tcW w:w="3180" w:type="dxa"/>
            <w:tcMar>
              <w:top w:w="100" w:type="dxa"/>
              <w:left w:w="130" w:type="dxa"/>
              <w:bottom w:w="100" w:type="dxa"/>
              <w:right w:w="130" w:type="dxa"/>
            </w:tcMar>
          </w:tcPr>
          <w:p w:rsidR="004B456F" w:rsidRDefault="009813CB" w:rsidP="00DD0B97">
            <w:pPr>
              <w:spacing w:after="0"/>
              <w:jc w:val="left"/>
              <w:rPr>
                <w:rFonts w:hint="eastAsia"/>
              </w:rPr>
            </w:pPr>
            <w:r>
              <w:rPr>
                <w:color w:val="1769AA"/>
                <w:sz w:val="18"/>
                <w:rtl/>
              </w:rPr>
              <w:t>[</w:t>
            </w:r>
            <w:r>
              <w:rPr>
                <w:rFonts w:cs="Times New Roman"/>
                <w:color w:val="1769AA"/>
                <w:sz w:val="18"/>
                <w:rtl/>
              </w:rPr>
              <w:t>اسم المنشأة</w:t>
            </w:r>
            <w:r>
              <w:rPr>
                <w:color w:val="1769AA"/>
                <w:sz w:val="18"/>
                <w:rtl/>
              </w:rPr>
              <w:t>]</w:t>
            </w:r>
          </w:p>
        </w:tc>
        <w:tc>
          <w:tcPr>
            <w:tcW w:w="1500" w:type="dxa"/>
            <w:shd w:val="clear" w:color="auto" w:fill="E8EEF5"/>
            <w:tcMar>
              <w:top w:w="100" w:type="dxa"/>
              <w:left w:w="130" w:type="dxa"/>
              <w:bottom w:w="100" w:type="dxa"/>
              <w:right w:w="130" w:type="dxa"/>
            </w:tcMar>
          </w:tcPr>
          <w:p w:rsidR="004B456F" w:rsidRDefault="009813CB" w:rsidP="00DD0B97">
            <w:pPr>
              <w:spacing w:after="0"/>
              <w:jc w:val="left"/>
              <w:rPr>
                <w:rFonts w:hint="eastAsia"/>
              </w:rPr>
            </w:pPr>
            <w:r>
              <w:rPr>
                <w:rFonts w:cs="Times New Roman"/>
                <w:b/>
                <w:color w:val="17243A"/>
                <w:sz w:val="18"/>
                <w:rtl/>
              </w:rPr>
              <w:t>رمز الوثيقة</w:t>
            </w:r>
          </w:p>
        </w:tc>
        <w:tc>
          <w:tcPr>
            <w:tcW w:w="3180" w:type="dxa"/>
            <w:tcMar>
              <w:top w:w="100" w:type="dxa"/>
              <w:left w:w="130" w:type="dxa"/>
              <w:bottom w:w="100" w:type="dxa"/>
              <w:right w:w="130" w:type="dxa"/>
            </w:tcMar>
          </w:tcPr>
          <w:p w:rsidR="004B456F" w:rsidRDefault="009813CB" w:rsidP="00DD0B97">
            <w:pPr>
              <w:spacing w:after="0"/>
              <w:jc w:val="left"/>
              <w:rPr>
                <w:rFonts w:hint="eastAsia"/>
              </w:rPr>
            </w:pPr>
            <w:r>
              <w:rPr>
                <w:sz w:val="18"/>
                <w:rtl/>
              </w:rPr>
              <w:t>HR-POL-CR-001</w:t>
            </w:r>
          </w:p>
        </w:tc>
      </w:tr>
      <w:tr w:rsidR="004B456F">
        <w:tc>
          <w:tcPr>
            <w:tcW w:w="1500" w:type="dxa"/>
            <w:shd w:val="clear" w:color="auto" w:fill="E8EEF5"/>
            <w:tcMar>
              <w:top w:w="100" w:type="dxa"/>
              <w:left w:w="130" w:type="dxa"/>
              <w:bottom w:w="100" w:type="dxa"/>
              <w:right w:w="130" w:type="dxa"/>
            </w:tcMar>
          </w:tcPr>
          <w:p w:rsidR="004B456F" w:rsidRDefault="009813CB" w:rsidP="00DD0B97">
            <w:pPr>
              <w:spacing w:after="0"/>
              <w:jc w:val="left"/>
              <w:rPr>
                <w:rFonts w:hint="eastAsia"/>
              </w:rPr>
            </w:pPr>
            <w:r>
              <w:rPr>
                <w:rFonts w:cs="Times New Roman"/>
                <w:b/>
                <w:color w:val="17243A"/>
                <w:sz w:val="18"/>
                <w:rtl/>
              </w:rPr>
              <w:t>الإصدار</w:t>
            </w:r>
          </w:p>
        </w:tc>
        <w:tc>
          <w:tcPr>
            <w:tcW w:w="3180" w:type="dxa"/>
            <w:tcMar>
              <w:top w:w="100" w:type="dxa"/>
              <w:left w:w="130" w:type="dxa"/>
              <w:bottom w:w="100" w:type="dxa"/>
              <w:right w:w="130" w:type="dxa"/>
            </w:tcMar>
          </w:tcPr>
          <w:p w:rsidR="004B456F" w:rsidRDefault="009813CB" w:rsidP="00DD0B97">
            <w:pPr>
              <w:spacing w:after="0"/>
              <w:jc w:val="left"/>
              <w:rPr>
                <w:rFonts w:hint="eastAsia"/>
              </w:rPr>
            </w:pPr>
            <w:r>
              <w:rPr>
                <w:color w:val="1769AA"/>
                <w:sz w:val="18"/>
                <w:rtl/>
              </w:rPr>
              <w:t>[1.0]</w:t>
            </w:r>
          </w:p>
        </w:tc>
        <w:tc>
          <w:tcPr>
            <w:tcW w:w="1500" w:type="dxa"/>
            <w:shd w:val="clear" w:color="auto" w:fill="E8EEF5"/>
            <w:tcMar>
              <w:top w:w="100" w:type="dxa"/>
              <w:left w:w="130" w:type="dxa"/>
              <w:bottom w:w="100" w:type="dxa"/>
              <w:right w:w="130" w:type="dxa"/>
            </w:tcMar>
          </w:tcPr>
          <w:p w:rsidR="004B456F" w:rsidRDefault="009813CB" w:rsidP="00DD0B97">
            <w:pPr>
              <w:spacing w:after="0"/>
              <w:jc w:val="left"/>
              <w:rPr>
                <w:rFonts w:hint="eastAsia"/>
              </w:rPr>
            </w:pPr>
            <w:r>
              <w:rPr>
                <w:rFonts w:cs="Times New Roman"/>
                <w:b/>
                <w:color w:val="17243A"/>
                <w:sz w:val="18"/>
                <w:rtl/>
              </w:rPr>
              <w:t>تاريخ السريان</w:t>
            </w:r>
          </w:p>
        </w:tc>
        <w:tc>
          <w:tcPr>
            <w:tcW w:w="3180" w:type="dxa"/>
            <w:tcMar>
              <w:top w:w="100" w:type="dxa"/>
              <w:left w:w="130" w:type="dxa"/>
              <w:bottom w:w="100" w:type="dxa"/>
              <w:right w:w="130" w:type="dxa"/>
            </w:tcMar>
          </w:tcPr>
          <w:p w:rsidR="004B456F" w:rsidRDefault="009813CB" w:rsidP="00DD0B97">
            <w:pPr>
              <w:spacing w:after="0"/>
              <w:jc w:val="left"/>
              <w:rPr>
                <w:rFonts w:hint="eastAsia"/>
              </w:rPr>
            </w:pPr>
            <w:r>
              <w:rPr>
                <w:color w:val="1769AA"/>
                <w:sz w:val="18"/>
                <w:rtl/>
              </w:rPr>
              <w:t>[</w:t>
            </w:r>
            <w:r>
              <w:rPr>
                <w:rFonts w:cs="Times New Roman"/>
                <w:color w:val="1769AA"/>
                <w:sz w:val="18"/>
                <w:rtl/>
              </w:rPr>
              <w:t>يوم</w:t>
            </w:r>
            <w:r>
              <w:rPr>
                <w:color w:val="1769AA"/>
                <w:sz w:val="18"/>
                <w:rtl/>
              </w:rPr>
              <w:t>/</w:t>
            </w:r>
            <w:r>
              <w:rPr>
                <w:rFonts w:cs="Times New Roman"/>
                <w:color w:val="1769AA"/>
                <w:sz w:val="18"/>
                <w:rtl/>
              </w:rPr>
              <w:t>شهر</w:t>
            </w:r>
            <w:r>
              <w:rPr>
                <w:color w:val="1769AA"/>
                <w:sz w:val="18"/>
                <w:rtl/>
              </w:rPr>
              <w:t>/</w:t>
            </w:r>
            <w:r>
              <w:rPr>
                <w:rFonts w:cs="Times New Roman"/>
                <w:color w:val="1769AA"/>
                <w:sz w:val="18"/>
                <w:rtl/>
              </w:rPr>
              <w:t>سنة</w:t>
            </w:r>
            <w:r>
              <w:rPr>
                <w:color w:val="1769AA"/>
                <w:sz w:val="18"/>
                <w:rtl/>
              </w:rPr>
              <w:t>]</w:t>
            </w:r>
            <w:bookmarkStart w:id="0" w:name="_GoBack"/>
            <w:bookmarkEnd w:id="0"/>
          </w:p>
        </w:tc>
      </w:tr>
      <w:tr w:rsidR="004B456F">
        <w:tc>
          <w:tcPr>
            <w:tcW w:w="1500" w:type="dxa"/>
            <w:shd w:val="clear" w:color="auto" w:fill="E8EEF5"/>
            <w:tcMar>
              <w:top w:w="100" w:type="dxa"/>
              <w:left w:w="130" w:type="dxa"/>
              <w:bottom w:w="100" w:type="dxa"/>
              <w:right w:w="130" w:type="dxa"/>
            </w:tcMar>
          </w:tcPr>
          <w:p w:rsidR="004B456F" w:rsidRDefault="009813CB" w:rsidP="00DD0B97">
            <w:pPr>
              <w:spacing w:after="0"/>
              <w:jc w:val="left"/>
              <w:rPr>
                <w:rFonts w:hint="eastAsia"/>
              </w:rPr>
            </w:pPr>
            <w:r>
              <w:rPr>
                <w:rFonts w:cs="Times New Roman"/>
                <w:b/>
                <w:color w:val="17243A"/>
                <w:sz w:val="18"/>
                <w:rtl/>
              </w:rPr>
              <w:t>مالك السياسة</w:t>
            </w:r>
          </w:p>
        </w:tc>
        <w:tc>
          <w:tcPr>
            <w:tcW w:w="3180" w:type="dxa"/>
            <w:tcMar>
              <w:top w:w="100" w:type="dxa"/>
              <w:left w:w="130" w:type="dxa"/>
              <w:bottom w:w="100" w:type="dxa"/>
              <w:right w:w="130" w:type="dxa"/>
            </w:tcMar>
          </w:tcPr>
          <w:p w:rsidR="004B456F" w:rsidRDefault="009813CB" w:rsidP="00DD0B97">
            <w:pPr>
              <w:spacing w:after="0"/>
              <w:jc w:val="left"/>
              <w:rPr>
                <w:rFonts w:hint="eastAsia"/>
              </w:rPr>
            </w:pPr>
            <w:r>
              <w:rPr>
                <w:rFonts w:cs="Times New Roman"/>
                <w:sz w:val="18"/>
                <w:rtl/>
              </w:rPr>
              <w:t>إدارة الموارد البشرية</w:t>
            </w:r>
          </w:p>
        </w:tc>
        <w:tc>
          <w:tcPr>
            <w:tcW w:w="1500" w:type="dxa"/>
            <w:shd w:val="clear" w:color="auto" w:fill="E8EEF5"/>
            <w:tcMar>
              <w:top w:w="100" w:type="dxa"/>
              <w:left w:w="130" w:type="dxa"/>
              <w:bottom w:w="100" w:type="dxa"/>
              <w:right w:w="130" w:type="dxa"/>
            </w:tcMar>
          </w:tcPr>
          <w:p w:rsidR="004B456F" w:rsidRDefault="009813CB" w:rsidP="00DD0B97">
            <w:pPr>
              <w:spacing w:after="0"/>
              <w:jc w:val="left"/>
              <w:rPr>
                <w:rFonts w:hint="eastAsia"/>
              </w:rPr>
            </w:pPr>
            <w:r>
              <w:rPr>
                <w:rFonts w:cs="Times New Roman"/>
                <w:b/>
                <w:color w:val="17243A"/>
                <w:sz w:val="18"/>
                <w:rtl/>
              </w:rPr>
              <w:t xml:space="preserve">جهة </w:t>
            </w:r>
            <w:r>
              <w:rPr>
                <w:rFonts w:cs="Times New Roman"/>
                <w:b/>
                <w:color w:val="17243A"/>
                <w:sz w:val="18"/>
                <w:rtl/>
              </w:rPr>
              <w:t>الاعتماد</w:t>
            </w:r>
          </w:p>
        </w:tc>
        <w:tc>
          <w:tcPr>
            <w:tcW w:w="3180" w:type="dxa"/>
            <w:tcMar>
              <w:top w:w="100" w:type="dxa"/>
              <w:left w:w="130" w:type="dxa"/>
              <w:bottom w:w="100" w:type="dxa"/>
              <w:right w:w="130" w:type="dxa"/>
            </w:tcMar>
          </w:tcPr>
          <w:p w:rsidR="004B456F" w:rsidRDefault="009813CB" w:rsidP="00DD0B97">
            <w:pPr>
              <w:spacing w:after="0"/>
              <w:jc w:val="left"/>
              <w:rPr>
                <w:rFonts w:hint="eastAsia"/>
              </w:rPr>
            </w:pPr>
            <w:r>
              <w:rPr>
                <w:color w:val="1769AA"/>
                <w:sz w:val="18"/>
                <w:rtl/>
              </w:rPr>
              <w:t>[</w:t>
            </w:r>
            <w:r>
              <w:rPr>
                <w:rFonts w:cs="Times New Roman"/>
                <w:color w:val="1769AA"/>
                <w:sz w:val="18"/>
                <w:rtl/>
              </w:rPr>
              <w:t>صاحب الصلاحية</w:t>
            </w:r>
            <w:r>
              <w:rPr>
                <w:color w:val="1769AA"/>
                <w:sz w:val="18"/>
                <w:rtl/>
              </w:rPr>
              <w:t>]</w:t>
            </w:r>
          </w:p>
        </w:tc>
      </w:tr>
      <w:tr w:rsidR="004B456F">
        <w:tc>
          <w:tcPr>
            <w:tcW w:w="1500" w:type="dxa"/>
            <w:shd w:val="clear" w:color="auto" w:fill="E8EEF5"/>
            <w:tcMar>
              <w:top w:w="100" w:type="dxa"/>
              <w:left w:w="130" w:type="dxa"/>
              <w:bottom w:w="100" w:type="dxa"/>
              <w:right w:w="130" w:type="dxa"/>
            </w:tcMar>
          </w:tcPr>
          <w:p w:rsidR="004B456F" w:rsidRDefault="009813CB" w:rsidP="00DD0B97">
            <w:pPr>
              <w:spacing w:after="0"/>
              <w:jc w:val="left"/>
              <w:rPr>
                <w:rFonts w:hint="eastAsia"/>
              </w:rPr>
            </w:pPr>
            <w:r>
              <w:rPr>
                <w:rFonts w:cs="Times New Roman"/>
                <w:b/>
                <w:color w:val="17243A"/>
                <w:sz w:val="18"/>
                <w:rtl/>
              </w:rPr>
              <w:t>دورية المراجعة</w:t>
            </w:r>
          </w:p>
        </w:tc>
        <w:tc>
          <w:tcPr>
            <w:tcW w:w="3180" w:type="dxa"/>
            <w:tcMar>
              <w:top w:w="100" w:type="dxa"/>
              <w:left w:w="130" w:type="dxa"/>
              <w:bottom w:w="100" w:type="dxa"/>
              <w:right w:w="130" w:type="dxa"/>
            </w:tcMar>
          </w:tcPr>
          <w:p w:rsidR="004B456F" w:rsidRDefault="009813CB" w:rsidP="00DD0B97">
            <w:pPr>
              <w:spacing w:after="0"/>
              <w:jc w:val="left"/>
              <w:rPr>
                <w:rFonts w:hint="eastAsia"/>
              </w:rPr>
            </w:pPr>
            <w:r>
              <w:rPr>
                <w:rFonts w:cs="Times New Roman"/>
                <w:sz w:val="18"/>
                <w:rtl/>
              </w:rPr>
              <w:t>سنويًا أو عند تعديل الأنظمة</w:t>
            </w:r>
          </w:p>
        </w:tc>
        <w:tc>
          <w:tcPr>
            <w:tcW w:w="1500" w:type="dxa"/>
            <w:shd w:val="clear" w:color="auto" w:fill="E8EEF5"/>
            <w:tcMar>
              <w:top w:w="100" w:type="dxa"/>
              <w:left w:w="130" w:type="dxa"/>
              <w:bottom w:w="100" w:type="dxa"/>
              <w:right w:w="130" w:type="dxa"/>
            </w:tcMar>
          </w:tcPr>
          <w:p w:rsidR="004B456F" w:rsidRDefault="009813CB" w:rsidP="00DD0B97">
            <w:pPr>
              <w:spacing w:after="0"/>
              <w:jc w:val="left"/>
              <w:rPr>
                <w:rFonts w:hint="eastAsia"/>
              </w:rPr>
            </w:pPr>
            <w:r>
              <w:rPr>
                <w:rFonts w:cs="Times New Roman"/>
                <w:b/>
                <w:color w:val="17243A"/>
                <w:sz w:val="18"/>
                <w:rtl/>
              </w:rPr>
              <w:t>تاريخ المراجعة القادمة</w:t>
            </w:r>
          </w:p>
        </w:tc>
        <w:tc>
          <w:tcPr>
            <w:tcW w:w="3180" w:type="dxa"/>
            <w:tcMar>
              <w:top w:w="100" w:type="dxa"/>
              <w:left w:w="130" w:type="dxa"/>
              <w:bottom w:w="100" w:type="dxa"/>
              <w:right w:w="130" w:type="dxa"/>
            </w:tcMar>
          </w:tcPr>
          <w:p w:rsidR="004B456F" w:rsidRDefault="009813CB" w:rsidP="00DD0B97">
            <w:pPr>
              <w:spacing w:after="0"/>
              <w:jc w:val="left"/>
              <w:rPr>
                <w:rFonts w:hint="eastAsia"/>
              </w:rPr>
            </w:pPr>
            <w:r>
              <w:rPr>
                <w:color w:val="1769AA"/>
                <w:sz w:val="18"/>
                <w:rtl/>
              </w:rPr>
              <w:t>[</w:t>
            </w:r>
            <w:r>
              <w:rPr>
                <w:rFonts w:cs="Times New Roman"/>
                <w:color w:val="1769AA"/>
                <w:sz w:val="18"/>
                <w:rtl/>
              </w:rPr>
              <w:t>يوم</w:t>
            </w:r>
            <w:r>
              <w:rPr>
                <w:color w:val="1769AA"/>
                <w:sz w:val="18"/>
                <w:rtl/>
              </w:rPr>
              <w:t>/</w:t>
            </w:r>
            <w:r>
              <w:rPr>
                <w:rFonts w:cs="Times New Roman"/>
                <w:color w:val="1769AA"/>
                <w:sz w:val="18"/>
                <w:rtl/>
              </w:rPr>
              <w:t>شهر</w:t>
            </w:r>
            <w:r>
              <w:rPr>
                <w:color w:val="1769AA"/>
                <w:sz w:val="18"/>
                <w:rtl/>
              </w:rPr>
              <w:t>/</w:t>
            </w:r>
            <w:r>
              <w:rPr>
                <w:rFonts w:cs="Times New Roman"/>
                <w:color w:val="1769AA"/>
                <w:sz w:val="18"/>
                <w:rtl/>
              </w:rPr>
              <w:t>سنة</w:t>
            </w:r>
            <w:r>
              <w:rPr>
                <w:color w:val="1769AA"/>
                <w:sz w:val="18"/>
                <w:rtl/>
              </w:rPr>
              <w:t>]</w:t>
            </w:r>
          </w:p>
        </w:tc>
      </w:tr>
    </w:tbl>
    <w:p w:rsidR="004B456F" w:rsidRDefault="004B456F">
      <w:pPr>
        <w:spacing w:after="100"/>
        <w:rPr>
          <w:rFonts w:hint="eastAsia"/>
        </w:rPr>
      </w:pPr>
    </w:p>
    <w:tbl>
      <w:tblPr>
        <w:tblStyle w:val="afa"/>
        <w:tblW w:w="9360" w:type="dxa"/>
        <w:jc w:val="center"/>
        <w:tblLayout w:type="fixed"/>
        <w:tblLook w:val="04A0" w:firstRow="1" w:lastRow="0" w:firstColumn="1" w:lastColumn="0" w:noHBand="0" w:noVBand="1"/>
      </w:tblPr>
      <w:tblGrid>
        <w:gridCol w:w="9360"/>
      </w:tblGrid>
      <w:tr w:rsidR="004B456F">
        <w:trPr>
          <w:jc w:val="center"/>
        </w:trPr>
        <w:tc>
          <w:tcPr>
            <w:tcW w:w="9360" w:type="dxa"/>
            <w:shd w:val="clear" w:color="auto" w:fill="E8F5F0"/>
            <w:tcMar>
              <w:top w:w="100" w:type="dxa"/>
              <w:left w:w="130" w:type="dxa"/>
              <w:bottom w:w="100" w:type="dxa"/>
              <w:right w:w="130" w:type="dxa"/>
            </w:tcMar>
            <w:vAlign w:val="center"/>
          </w:tcPr>
          <w:p w:rsidR="004B456F" w:rsidRDefault="009813CB" w:rsidP="00DD0B97">
            <w:pPr>
              <w:spacing w:after="40"/>
              <w:jc w:val="left"/>
              <w:rPr>
                <w:rFonts w:hint="eastAsia"/>
              </w:rPr>
            </w:pPr>
            <w:r>
              <w:rPr>
                <w:rFonts w:cs="Times New Roman"/>
                <w:b/>
                <w:color w:val="087F5B"/>
                <w:sz w:val="20"/>
                <w:rtl/>
              </w:rPr>
              <w:t>طريقة الاستخدام</w:t>
            </w:r>
            <w:r>
              <w:rPr>
                <w:b/>
                <w:color w:val="087F5B"/>
                <w:sz w:val="20"/>
                <w:rtl/>
              </w:rPr>
              <w:t xml:space="preserve">: </w:t>
            </w:r>
            <w:r>
              <w:rPr>
                <w:rFonts w:cs="Times New Roman"/>
                <w:sz w:val="19"/>
                <w:rtl/>
              </w:rPr>
              <w:t xml:space="preserve">استبدل النصوص الزرقاء بين الأقواس </w:t>
            </w:r>
            <w:r>
              <w:rPr>
                <w:sz w:val="19"/>
                <w:rtl/>
              </w:rPr>
              <w:t xml:space="preserve">[ ] </w:t>
            </w:r>
            <w:r>
              <w:rPr>
                <w:rFonts w:cs="Times New Roman"/>
                <w:sz w:val="19"/>
                <w:rtl/>
              </w:rPr>
              <w:t>ببيانات المنشأة، واعتمد هيكل الدرجات ونطاقات الرواتب والبدلات ودورة المراجعة والصلاحيات قبل ا</w:t>
            </w:r>
            <w:r>
              <w:rPr>
                <w:rFonts w:cs="Times New Roman"/>
                <w:sz w:val="19"/>
                <w:rtl/>
              </w:rPr>
              <w:t>لتطبيق</w:t>
            </w:r>
            <w:r>
              <w:rPr>
                <w:sz w:val="19"/>
                <w:rtl/>
              </w:rPr>
              <w:t>.</w:t>
            </w:r>
          </w:p>
        </w:tc>
      </w:tr>
    </w:tbl>
    <w:p w:rsidR="004B456F" w:rsidRDefault="004B456F" w:rsidP="00DD0B97">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4B456F">
        <w:trPr>
          <w:jc w:val="center"/>
        </w:trPr>
        <w:tc>
          <w:tcPr>
            <w:tcW w:w="9360" w:type="dxa"/>
            <w:shd w:val="clear" w:color="auto" w:fill="FFF4E5"/>
            <w:tcMar>
              <w:top w:w="100" w:type="dxa"/>
              <w:left w:w="130" w:type="dxa"/>
              <w:bottom w:w="100" w:type="dxa"/>
              <w:right w:w="130" w:type="dxa"/>
            </w:tcMar>
            <w:vAlign w:val="center"/>
          </w:tcPr>
          <w:p w:rsidR="004B456F" w:rsidRDefault="009813CB" w:rsidP="00DD0B97">
            <w:pPr>
              <w:spacing w:after="40"/>
              <w:jc w:val="left"/>
              <w:rPr>
                <w:rFonts w:hint="eastAsia"/>
              </w:rPr>
            </w:pPr>
            <w:r>
              <w:rPr>
                <w:rFonts w:cs="Times New Roman"/>
                <w:b/>
                <w:color w:val="A15C00"/>
                <w:sz w:val="20"/>
                <w:rtl/>
              </w:rPr>
              <w:t>تنبيه مهم</w:t>
            </w:r>
            <w:r>
              <w:rPr>
                <w:b/>
                <w:color w:val="A15C00"/>
                <w:sz w:val="20"/>
                <w:rtl/>
              </w:rPr>
              <w:t xml:space="preserve">: </w:t>
            </w:r>
            <w:r>
              <w:rPr>
                <w:rFonts w:cs="Times New Roman"/>
                <w:sz w:val="19"/>
                <w:rtl/>
              </w:rPr>
              <w:t xml:space="preserve">هذا قالب استرشادي أُعد بالاستناد إلى الأنظمة السارية حتى </w:t>
            </w:r>
            <w:r>
              <w:rPr>
                <w:sz w:val="19"/>
                <w:rtl/>
              </w:rPr>
              <w:t xml:space="preserve">9 </w:t>
            </w:r>
            <w:r>
              <w:rPr>
                <w:rFonts w:cs="Times New Roman"/>
                <w:sz w:val="19"/>
                <w:rtl/>
              </w:rPr>
              <w:t xml:space="preserve">أغسطس </w:t>
            </w:r>
            <w:r>
              <w:rPr>
                <w:sz w:val="19"/>
                <w:rtl/>
              </w:rPr>
              <w:t xml:space="preserve">2026. </w:t>
            </w:r>
            <w:r>
              <w:rPr>
                <w:rFonts w:cs="Times New Roman"/>
                <w:sz w:val="19"/>
                <w:rtl/>
              </w:rPr>
              <w:t>ويجب مواءمته مع العقود ولائحة تنظيم العمل ونظام الرواتب والتأمينات وبرنامج حماية الأجور والقرارات الخاصة بالنشاط</w:t>
            </w:r>
            <w:r>
              <w:rPr>
                <w:sz w:val="19"/>
                <w:rtl/>
              </w:rPr>
              <w:t>.</w:t>
            </w:r>
          </w:p>
        </w:tc>
      </w:tr>
    </w:tbl>
    <w:p w:rsidR="004B456F" w:rsidRDefault="004B456F" w:rsidP="00DD0B97">
      <w:pPr>
        <w:spacing w:after="0"/>
        <w:jc w:val="left"/>
        <w:rPr>
          <w:rFonts w:hint="eastAsia"/>
        </w:rPr>
      </w:pPr>
    </w:p>
    <w:p w:rsidR="004B456F" w:rsidRDefault="009813CB" w:rsidP="00DD0B97">
      <w:pPr>
        <w:spacing w:before="280" w:after="0"/>
        <w:jc w:val="left"/>
        <w:rPr>
          <w:rFonts w:hint="eastAsia"/>
        </w:rPr>
      </w:pPr>
      <w:r>
        <w:rPr>
          <w:rFonts w:cs="Times New Roman"/>
          <w:color w:val="667085"/>
          <w:sz w:val="17"/>
          <w:rtl/>
        </w:rPr>
        <w:t>إعداد استرشادي للنشر ضمن نماذج مجد</w:t>
      </w:r>
    </w:p>
    <w:p w:rsidR="004B456F" w:rsidRDefault="009813CB" w:rsidP="00DD0B97">
      <w:pPr>
        <w:jc w:val="left"/>
        <w:rPr>
          <w:rFonts w:hint="eastAsia"/>
        </w:rPr>
      </w:pPr>
      <w:r>
        <w:br w:type="page"/>
      </w:r>
    </w:p>
    <w:p w:rsidR="004B456F" w:rsidRDefault="009813CB" w:rsidP="00DD0B97">
      <w:pPr>
        <w:pStyle w:val="1"/>
        <w:jc w:val="left"/>
      </w:pPr>
      <w:r>
        <w:rPr>
          <w:rFonts w:ascii="DejaVu Sans" w:hAnsi="DejaVu Sans" w:cs="DejaVu Sans"/>
          <w:rtl/>
        </w:rPr>
        <w:lastRenderedPageBreak/>
        <w:t xml:space="preserve">1. </w:t>
      </w:r>
      <w:r>
        <w:rPr>
          <w:rFonts w:ascii="DejaVu Sans" w:hAnsi="DejaVu Sans" w:cs="Times New Roman"/>
          <w:rtl/>
        </w:rPr>
        <w:t>الهدف</w:t>
      </w:r>
    </w:p>
    <w:p w:rsidR="004B456F" w:rsidRDefault="009813CB" w:rsidP="00DD0B97">
      <w:pPr>
        <w:jc w:val="left"/>
        <w:rPr>
          <w:rFonts w:hint="eastAsia"/>
        </w:rPr>
      </w:pPr>
      <w:r>
        <w:rPr>
          <w:rFonts w:cs="Times New Roman"/>
          <w:rtl/>
        </w:rPr>
        <w:t>تهدف هذه السياسة إلى وضع إطار واضح وعادل لإدارة الأجور والتعويضات والمزايا، يضمن دفع المستحقات بدقة وفي مواعيدها، ويربط قرارات الأجر بقيمة الوظيفة والكفاءة والأداء والقدرة المالية، ويعزز العدالة الداخلية والتنافسية والاستدامة والامتثال للأنظمة السارية</w:t>
      </w:r>
      <w:r>
        <w:rPr>
          <w:rtl/>
        </w:rPr>
        <w:t>.</w:t>
      </w:r>
    </w:p>
    <w:p w:rsidR="004B456F" w:rsidRDefault="009813CB" w:rsidP="00DD0B97">
      <w:pPr>
        <w:pStyle w:val="1"/>
        <w:jc w:val="left"/>
      </w:pPr>
      <w:r>
        <w:rPr>
          <w:rFonts w:ascii="DejaVu Sans" w:hAnsi="DejaVu Sans" w:cs="DejaVu Sans"/>
          <w:rtl/>
        </w:rPr>
        <w:t xml:space="preserve">2. </w:t>
      </w:r>
      <w:r>
        <w:rPr>
          <w:rFonts w:ascii="DejaVu Sans" w:hAnsi="DejaVu Sans" w:cs="Times New Roman"/>
          <w:rtl/>
        </w:rPr>
        <w:t>نطاق التطبيق</w:t>
      </w:r>
    </w:p>
    <w:p w:rsidR="004B456F" w:rsidRDefault="009813CB" w:rsidP="00DD0B97">
      <w:pPr>
        <w:jc w:val="left"/>
        <w:rPr>
          <w:rFonts w:hint="eastAsia"/>
        </w:rPr>
      </w:pPr>
      <w:r>
        <w:rPr>
          <w:rFonts w:cs="Times New Roman"/>
          <w:rtl/>
        </w:rPr>
        <w:t xml:space="preserve">تسري هذه السياسة على موظفي </w:t>
      </w:r>
      <w:r>
        <w:rPr>
          <w:rtl/>
        </w:rPr>
        <w:t>[</w:t>
      </w:r>
      <w:r>
        <w:rPr>
          <w:rFonts w:cs="Times New Roman"/>
          <w:rtl/>
        </w:rPr>
        <w:t>اسم المنشأة</w:t>
      </w:r>
      <w:r>
        <w:rPr>
          <w:rtl/>
        </w:rPr>
        <w:t xml:space="preserve">] </w:t>
      </w:r>
      <w:r>
        <w:rPr>
          <w:rFonts w:cs="Times New Roman"/>
          <w:rtl/>
        </w:rPr>
        <w:t>بحسب عقودهم ودرجاتهم وأنماط عملهم، بما في ذلك الموظفون بدوام كامل أو جزئي أو بعقود محددة المدة</w:t>
      </w:r>
      <w:r>
        <w:rPr>
          <w:rtl/>
        </w:rPr>
        <w:t xml:space="preserve">. </w:t>
      </w:r>
      <w:r>
        <w:rPr>
          <w:rFonts w:cs="Times New Roman"/>
          <w:rtl/>
        </w:rPr>
        <w:t xml:space="preserve">ولا تسري على المستشارين ومقدمي الخدمات المستقلين إلا بالقدر المنصوص عليه في عقودهم، مع مراعاة أي أحكام أو </w:t>
      </w:r>
      <w:r>
        <w:rPr>
          <w:rFonts w:cs="Times New Roman"/>
          <w:rtl/>
        </w:rPr>
        <w:t>مزايا خاصة واجبة التطبيق</w:t>
      </w:r>
      <w:r>
        <w:rPr>
          <w:rtl/>
        </w:rPr>
        <w:t>.</w:t>
      </w:r>
    </w:p>
    <w:p w:rsidR="004B456F" w:rsidRDefault="009813CB" w:rsidP="00DD0B97">
      <w:pPr>
        <w:pStyle w:val="1"/>
        <w:jc w:val="left"/>
      </w:pPr>
      <w:r>
        <w:rPr>
          <w:rFonts w:ascii="DejaVu Sans" w:hAnsi="DejaVu Sans" w:cs="DejaVu Sans"/>
          <w:rtl/>
        </w:rPr>
        <w:t xml:space="preserve">3. </w:t>
      </w:r>
      <w:r>
        <w:rPr>
          <w:rFonts w:ascii="DejaVu Sans" w:hAnsi="DejaVu Sans" w:cs="Times New Roman"/>
          <w:rtl/>
        </w:rPr>
        <w:t>المرجعية وأولوية التطبيق</w:t>
      </w:r>
    </w:p>
    <w:p w:rsidR="004B456F" w:rsidRDefault="009813CB" w:rsidP="00DD0B97">
      <w:pPr>
        <w:numPr>
          <w:ilvl w:val="0"/>
          <w:numId w:val="1"/>
        </w:numPr>
        <w:jc w:val="left"/>
        <w:rPr>
          <w:rFonts w:hint="eastAsia"/>
        </w:rPr>
      </w:pPr>
      <w:r>
        <w:rPr>
          <w:rFonts w:cs="Times New Roman"/>
          <w:rtl/>
        </w:rPr>
        <w:t>يطبق نظام العمل السعودي ولائحته التنفيذية ولائحة تنظيم العمل والعقود المعتمدة، ونظام التأمينات الاجتماعية، وبرنامج حماية الأجور متى انطبق، ونظام حماية البيانات الشخصية</w:t>
      </w:r>
      <w:r>
        <w:rPr>
          <w:rtl/>
        </w:rPr>
        <w:t>.</w:t>
      </w:r>
    </w:p>
    <w:p w:rsidR="004B456F" w:rsidRDefault="009813CB" w:rsidP="00DD0B97">
      <w:pPr>
        <w:numPr>
          <w:ilvl w:val="0"/>
          <w:numId w:val="1"/>
        </w:numPr>
        <w:jc w:val="left"/>
        <w:rPr>
          <w:rFonts w:hint="eastAsia"/>
        </w:rPr>
      </w:pPr>
      <w:r>
        <w:rPr>
          <w:rFonts w:cs="Times New Roman"/>
          <w:rtl/>
        </w:rPr>
        <w:t xml:space="preserve">عند التعارض، يقدم الحكم النظامي </w:t>
      </w:r>
      <w:r>
        <w:rPr>
          <w:rFonts w:cs="Times New Roman"/>
          <w:rtl/>
        </w:rPr>
        <w:t>أو التعاقدي أو التنظيمي الأكثر إلزامًا، ولا تستخدم هذه السياسة لتخفيض أجر متفق عليه أو حق مكتسب دون أساس وإجراء نظامي</w:t>
      </w:r>
      <w:r>
        <w:rPr>
          <w:rtl/>
        </w:rPr>
        <w:t>.</w:t>
      </w:r>
    </w:p>
    <w:p w:rsidR="004B456F" w:rsidRDefault="009813CB" w:rsidP="00DD0B97">
      <w:pPr>
        <w:numPr>
          <w:ilvl w:val="0"/>
          <w:numId w:val="1"/>
        </w:numPr>
        <w:jc w:val="left"/>
        <w:rPr>
          <w:rFonts w:hint="eastAsia"/>
        </w:rPr>
      </w:pPr>
      <w:r>
        <w:rPr>
          <w:rFonts w:cs="Times New Roman"/>
          <w:rtl/>
        </w:rPr>
        <w:t>أي حد أدنى للأجر أو اشتراط توطين أو تنظيم قطاعي أو مهني نافذ يطبق مباشرة دون الحاجة إلى تعديل النص أولًا</w:t>
      </w:r>
      <w:r>
        <w:rPr>
          <w:rtl/>
        </w:rPr>
        <w:t>.</w:t>
      </w:r>
    </w:p>
    <w:p w:rsidR="004B456F" w:rsidRDefault="009813CB" w:rsidP="00DD0B97">
      <w:pPr>
        <w:pStyle w:val="1"/>
        <w:jc w:val="left"/>
      </w:pPr>
      <w:r>
        <w:rPr>
          <w:rFonts w:ascii="DejaVu Sans" w:hAnsi="DejaVu Sans" w:cs="DejaVu Sans"/>
          <w:rtl/>
        </w:rPr>
        <w:t xml:space="preserve">4. </w:t>
      </w:r>
      <w:r>
        <w:rPr>
          <w:rFonts w:ascii="DejaVu Sans" w:hAnsi="DejaVu Sans" w:cs="Times New Roman"/>
          <w:rtl/>
        </w:rPr>
        <w:t>التعريفات</w:t>
      </w:r>
    </w:p>
    <w:tbl>
      <w:tblPr>
        <w:tblStyle w:val="afa"/>
        <w:tblW w:w="9360" w:type="dxa"/>
        <w:jc w:val="center"/>
        <w:tblLayout w:type="fixed"/>
        <w:tblLook w:val="04A0" w:firstRow="1" w:lastRow="0" w:firstColumn="1" w:lastColumn="0" w:noHBand="0" w:noVBand="1"/>
      </w:tblPr>
      <w:tblGrid>
        <w:gridCol w:w="2200"/>
        <w:gridCol w:w="7160"/>
      </w:tblGrid>
      <w:tr w:rsidR="004B456F">
        <w:trPr>
          <w:tblHeader/>
          <w:jc w:val="center"/>
        </w:trPr>
        <w:tc>
          <w:tcPr>
            <w:tcW w:w="22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المصطلح</w:t>
            </w:r>
          </w:p>
        </w:tc>
        <w:tc>
          <w:tcPr>
            <w:tcW w:w="71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التعريف</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w:t>
            </w:r>
            <w:r>
              <w:rPr>
                <w:rFonts w:cs="Times New Roman"/>
                <w:sz w:val="18"/>
                <w:rtl/>
              </w:rPr>
              <w:t>لأجر الأساسي</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المقابل المتفق عليه للعمل قبل إضافة البدلات والمزايا والتعويضات الأخرى، وفق العقد والتعريف النظامي</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الأجر الفعلي</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الأجر الأساسي مضافًا إليه الزيادات والبدلات والمزايا المستحقة مقابل العمل، وفق التعريف النظامي وما يستثنى منه</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إجمالي الأجر</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مجموع عناصر الأجر النقدية الثابتة والمتغيرة المستحقة عن فترة معينة قبل الاستقطاعات</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صافي الأجر</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المبلغ المتبقي للموظف بعد الاستقطاعات النظامية والمبالغ المعتمدة قانونًا</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البدل</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مبلغ ثابت أو متغير يمنح لغرض محدد مثل السكن أو النقل أو طبيعة العمل وفق العقد </w:t>
            </w:r>
            <w:r>
              <w:rPr>
                <w:rFonts w:cs="Times New Roman"/>
                <w:sz w:val="18"/>
                <w:rtl/>
              </w:rPr>
              <w:t>أو السياسة</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التعويض المتغير</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مبلغ غير ثابت مرتبط بنتائج أو شروط محددة، مثل المكافأة أو العمولة أو الحافز</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الميزة العينية</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منفعة غير نقدية توفرها المنشأة مثل السكن أو المركبة أو التأمين، وفق شروط الاستحقاق</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الدرجة الوظيفية</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مستوى تنظيمي يجمع وظائف متقاربة </w:t>
            </w:r>
            <w:r>
              <w:rPr>
                <w:rFonts w:cs="Times New Roman"/>
                <w:sz w:val="18"/>
                <w:rtl/>
              </w:rPr>
              <w:t>في القيمة والمسؤولية ويقترن بنطاق أجر معتمد</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نطاق الراتب</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حد أدنى ونقطة وسط وحد أعلى للأجر الأساسي أو الأجر المستهدف في درجة وظيفية</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مسير الرواتب</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السجل الدوري المعتمد الذي يتضمن الأجور والبدلات والاستحقاقات والاستقطاعات وصافي الدفع</w:t>
            </w:r>
            <w:r>
              <w:rPr>
                <w:sz w:val="18"/>
                <w:rtl/>
              </w:rPr>
              <w:t>.</w:t>
            </w:r>
          </w:p>
        </w:tc>
      </w:tr>
      <w:tr w:rsidR="004B456F">
        <w:trPr>
          <w:jc w:val="center"/>
        </w:trPr>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التسوية النهائية</w:t>
            </w:r>
          </w:p>
        </w:tc>
        <w:tc>
          <w:tcPr>
            <w:tcW w:w="71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المس</w:t>
            </w:r>
            <w:r>
              <w:rPr>
                <w:rFonts w:cs="Times New Roman"/>
                <w:sz w:val="18"/>
                <w:rtl/>
              </w:rPr>
              <w:t>تحقات والاستقطاعات التي تحسب عند انتهاء العلاقة التعاقدية وفق النظام والعقد</w:t>
            </w:r>
            <w:r>
              <w:rPr>
                <w:sz w:val="18"/>
                <w:rtl/>
              </w:rPr>
              <w:t>.</w:t>
            </w:r>
          </w:p>
        </w:tc>
      </w:tr>
    </w:tbl>
    <w:p w:rsidR="004B456F" w:rsidRDefault="004B456F" w:rsidP="00DD0B97">
      <w:pPr>
        <w:spacing w:after="0"/>
        <w:jc w:val="left"/>
        <w:rPr>
          <w:rFonts w:hint="eastAsia"/>
        </w:rPr>
      </w:pPr>
    </w:p>
    <w:p w:rsidR="004B456F" w:rsidRDefault="009813CB" w:rsidP="00DD0B97">
      <w:pPr>
        <w:pStyle w:val="1"/>
        <w:jc w:val="left"/>
      </w:pPr>
      <w:r>
        <w:rPr>
          <w:rFonts w:ascii="DejaVu Sans" w:hAnsi="DejaVu Sans" w:cs="DejaVu Sans"/>
          <w:rtl/>
        </w:rPr>
        <w:t xml:space="preserve">5. </w:t>
      </w:r>
      <w:r>
        <w:rPr>
          <w:rFonts w:ascii="DejaVu Sans" w:hAnsi="DejaVu Sans" w:cs="Times New Roman"/>
          <w:rtl/>
        </w:rPr>
        <w:t>المبادئ الحاكمة</w:t>
      </w:r>
    </w:p>
    <w:p w:rsidR="004B456F" w:rsidRDefault="009813CB" w:rsidP="00DD0B97">
      <w:pPr>
        <w:numPr>
          <w:ilvl w:val="0"/>
          <w:numId w:val="1"/>
        </w:numPr>
        <w:jc w:val="left"/>
        <w:rPr>
          <w:rFonts w:hint="eastAsia"/>
        </w:rPr>
      </w:pPr>
      <w:r>
        <w:rPr>
          <w:rFonts w:cs="Times New Roman"/>
          <w:rtl/>
        </w:rPr>
        <w:t>تدفع الأجور بالقيمة والموعد والطريقة المتفق عليها، وتوثق عبر القنوات المعتمدة</w:t>
      </w:r>
      <w:r>
        <w:rPr>
          <w:rtl/>
        </w:rPr>
        <w:t>.</w:t>
      </w:r>
    </w:p>
    <w:p w:rsidR="004B456F" w:rsidRDefault="009813CB" w:rsidP="00DD0B97">
      <w:pPr>
        <w:numPr>
          <w:ilvl w:val="0"/>
          <w:numId w:val="1"/>
        </w:numPr>
        <w:jc w:val="left"/>
        <w:rPr>
          <w:rFonts w:hint="eastAsia"/>
        </w:rPr>
      </w:pPr>
      <w:r>
        <w:rPr>
          <w:rFonts w:cs="Times New Roman"/>
          <w:rtl/>
        </w:rPr>
        <w:t>تبنى فروق الأجور على أسباب موضوعية مثل قيمة الوظيفة والخبرة والكفاءة والأداء وا</w:t>
      </w:r>
      <w:r>
        <w:rPr>
          <w:rFonts w:cs="Times New Roman"/>
          <w:rtl/>
        </w:rPr>
        <w:t>لسوق والموقع، لا على الجنس أو الجنسية أو الأصل أو أي أساس تمييزي محظور</w:t>
      </w:r>
      <w:r>
        <w:rPr>
          <w:rtl/>
        </w:rPr>
        <w:t>.</w:t>
      </w:r>
    </w:p>
    <w:p w:rsidR="004B456F" w:rsidRDefault="009813CB" w:rsidP="00DD0B97">
      <w:pPr>
        <w:numPr>
          <w:ilvl w:val="0"/>
          <w:numId w:val="1"/>
        </w:numPr>
        <w:jc w:val="left"/>
        <w:rPr>
          <w:rFonts w:hint="eastAsia"/>
        </w:rPr>
      </w:pPr>
      <w:r>
        <w:rPr>
          <w:rFonts w:cs="Times New Roman"/>
          <w:rtl/>
        </w:rPr>
        <w:t>الدرجة المرتفعة أو الأداء الجيد لا ينشئان تلقائيًا حقًا في زيادة أو مكافأة ما لم تتحقق شروطها وتعتمد ضمن الميزانية والصلاحية</w:t>
      </w:r>
      <w:r>
        <w:rPr>
          <w:rtl/>
        </w:rPr>
        <w:t>.</w:t>
      </w:r>
    </w:p>
    <w:p w:rsidR="004B456F" w:rsidRDefault="009813CB" w:rsidP="00DD0B97">
      <w:pPr>
        <w:numPr>
          <w:ilvl w:val="0"/>
          <w:numId w:val="1"/>
        </w:numPr>
        <w:jc w:val="left"/>
        <w:rPr>
          <w:rFonts w:hint="eastAsia"/>
        </w:rPr>
      </w:pPr>
      <w:r>
        <w:rPr>
          <w:rFonts w:cs="Times New Roman"/>
          <w:rtl/>
        </w:rPr>
        <w:t xml:space="preserve">لا يعد نطاق الراتب وعدًا بدفع حده الأعلى، ولا يجوز أن يحل </w:t>
      </w:r>
      <w:r>
        <w:rPr>
          <w:rFonts w:cs="Times New Roman"/>
          <w:rtl/>
        </w:rPr>
        <w:t>الهيكل الداخلي محل الأجر المتفق عليه في العقد</w:t>
      </w:r>
      <w:r>
        <w:rPr>
          <w:rtl/>
        </w:rPr>
        <w:t>.</w:t>
      </w:r>
    </w:p>
    <w:p w:rsidR="004B456F" w:rsidRDefault="009813CB" w:rsidP="00DD0B97">
      <w:pPr>
        <w:numPr>
          <w:ilvl w:val="0"/>
          <w:numId w:val="1"/>
        </w:numPr>
        <w:jc w:val="left"/>
        <w:rPr>
          <w:rFonts w:hint="eastAsia"/>
        </w:rPr>
      </w:pPr>
      <w:r>
        <w:rPr>
          <w:rFonts w:cs="Times New Roman"/>
          <w:rtl/>
        </w:rPr>
        <w:t>تفصل صلاحيات إدخال بيانات الرواتب واعتمادها وصرفها ومراجعتها للحد من الخطأ والتلاعب</w:t>
      </w:r>
      <w:r>
        <w:rPr>
          <w:rtl/>
        </w:rPr>
        <w:t>.</w:t>
      </w:r>
    </w:p>
    <w:p w:rsidR="004B456F" w:rsidRDefault="009813CB" w:rsidP="00DD0B97">
      <w:pPr>
        <w:numPr>
          <w:ilvl w:val="0"/>
          <w:numId w:val="1"/>
        </w:numPr>
        <w:jc w:val="left"/>
        <w:rPr>
          <w:rFonts w:hint="eastAsia"/>
        </w:rPr>
      </w:pPr>
      <w:r>
        <w:rPr>
          <w:rFonts w:cs="Times New Roman"/>
          <w:rtl/>
        </w:rPr>
        <w:t>تعامل بيانات الأجور بسرية وظيفية، مع حق الموظف في معرفة عناصر أجره واستقطاعاته وطلب تصحيحها</w:t>
      </w:r>
      <w:r>
        <w:rPr>
          <w:rtl/>
        </w:rPr>
        <w:t>.</w:t>
      </w:r>
    </w:p>
    <w:p w:rsidR="004B456F" w:rsidRDefault="009813CB" w:rsidP="00DD0B97">
      <w:pPr>
        <w:pStyle w:val="1"/>
        <w:jc w:val="left"/>
      </w:pPr>
      <w:r>
        <w:rPr>
          <w:rFonts w:ascii="DejaVu Sans" w:hAnsi="DejaVu Sans" w:cs="DejaVu Sans"/>
          <w:rtl/>
        </w:rPr>
        <w:t xml:space="preserve">6. </w:t>
      </w:r>
      <w:r>
        <w:rPr>
          <w:rFonts w:ascii="DejaVu Sans" w:hAnsi="DejaVu Sans" w:cs="Times New Roman"/>
          <w:rtl/>
        </w:rPr>
        <w:t>فلسفة التعويضات</w:t>
      </w:r>
    </w:p>
    <w:tbl>
      <w:tblPr>
        <w:tblStyle w:val="afa"/>
        <w:tblW w:w="9360" w:type="dxa"/>
        <w:jc w:val="center"/>
        <w:tblLayout w:type="fixed"/>
        <w:tblLook w:val="04A0" w:firstRow="1" w:lastRow="0" w:firstColumn="1" w:lastColumn="0" w:noHBand="0" w:noVBand="1"/>
      </w:tblPr>
      <w:tblGrid>
        <w:gridCol w:w="2600"/>
        <w:gridCol w:w="6760"/>
      </w:tblGrid>
      <w:tr w:rsidR="004B456F">
        <w:trPr>
          <w:tblHeader/>
          <w:jc w:val="center"/>
        </w:trPr>
        <w:tc>
          <w:tcPr>
            <w:tcW w:w="26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المبدأ</w:t>
            </w:r>
          </w:p>
        </w:tc>
        <w:tc>
          <w:tcPr>
            <w:tcW w:w="67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التطبيق الاسترشادي</w:t>
            </w:r>
          </w:p>
        </w:tc>
      </w:tr>
      <w:tr w:rsidR="004B456F">
        <w:trPr>
          <w:jc w:val="center"/>
        </w:trPr>
        <w:tc>
          <w:tcPr>
            <w:tcW w:w="2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العدالة الداخلية</w:t>
            </w:r>
          </w:p>
        </w:tc>
        <w:tc>
          <w:tcPr>
            <w:tcW w:w="6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تقييم الوظائف المتقاربة بمنهج موحد ومراجعة الفروق غير المبررة داخل الدرجة</w:t>
            </w:r>
            <w:r>
              <w:rPr>
                <w:sz w:val="18"/>
                <w:rtl/>
              </w:rPr>
              <w:t>.</w:t>
            </w:r>
          </w:p>
        </w:tc>
      </w:tr>
      <w:tr w:rsidR="004B456F">
        <w:trPr>
          <w:jc w:val="center"/>
        </w:trPr>
        <w:tc>
          <w:tcPr>
            <w:tcW w:w="2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التنافسية الخارجية</w:t>
            </w:r>
          </w:p>
        </w:tc>
        <w:tc>
          <w:tcPr>
            <w:tcW w:w="6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استخدام بيانات سوق موثوقة وملائمة للنشاط والحجم والموقع دون نسخ السوق آليًا</w:t>
            </w:r>
            <w:r>
              <w:rPr>
                <w:sz w:val="18"/>
                <w:rtl/>
              </w:rPr>
              <w:t>.</w:t>
            </w:r>
          </w:p>
        </w:tc>
      </w:tr>
      <w:tr w:rsidR="004B456F">
        <w:trPr>
          <w:jc w:val="center"/>
        </w:trPr>
        <w:tc>
          <w:tcPr>
            <w:tcW w:w="2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القدرة على الاستدامة</w:t>
            </w:r>
          </w:p>
        </w:tc>
        <w:tc>
          <w:tcPr>
            <w:tcW w:w="6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ربط الزيادات والمزايا </w:t>
            </w:r>
            <w:r>
              <w:rPr>
                <w:rFonts w:cs="Times New Roman"/>
                <w:sz w:val="18"/>
                <w:rtl/>
              </w:rPr>
              <w:t>بميزانية طويلة الأجل وعدم إنشاء التزام غير ممول</w:t>
            </w:r>
            <w:r>
              <w:rPr>
                <w:sz w:val="18"/>
                <w:rtl/>
              </w:rPr>
              <w:t>.</w:t>
            </w:r>
          </w:p>
        </w:tc>
      </w:tr>
      <w:tr w:rsidR="004B456F">
        <w:trPr>
          <w:jc w:val="center"/>
        </w:trPr>
        <w:tc>
          <w:tcPr>
            <w:tcW w:w="2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الأداء والمساهمة</w:t>
            </w:r>
          </w:p>
        </w:tc>
        <w:tc>
          <w:tcPr>
            <w:tcW w:w="6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استخدام الأداء مدخلًا منضبطًا في الزيادة أو الحافز دون إهمال قيمة الوظيفة والعدالة</w:t>
            </w:r>
            <w:r>
              <w:rPr>
                <w:sz w:val="18"/>
                <w:rtl/>
              </w:rPr>
              <w:t>.</w:t>
            </w:r>
          </w:p>
        </w:tc>
      </w:tr>
      <w:tr w:rsidR="004B456F">
        <w:trPr>
          <w:jc w:val="center"/>
        </w:trPr>
        <w:tc>
          <w:tcPr>
            <w:tcW w:w="2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الوضوح</w:t>
            </w:r>
          </w:p>
        </w:tc>
        <w:tc>
          <w:tcPr>
            <w:tcW w:w="6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تعريف عناصر الأجر وشروطها وإظهارها في بيان الراتب</w:t>
            </w:r>
            <w:r>
              <w:rPr>
                <w:sz w:val="18"/>
                <w:rtl/>
              </w:rPr>
              <w:t>.</w:t>
            </w:r>
          </w:p>
        </w:tc>
      </w:tr>
    </w:tbl>
    <w:p w:rsidR="004B456F" w:rsidRDefault="004B456F" w:rsidP="00DD0B97">
      <w:pPr>
        <w:spacing w:after="0"/>
        <w:jc w:val="left"/>
        <w:rPr>
          <w:rFonts w:hint="eastAsia"/>
        </w:rPr>
      </w:pPr>
    </w:p>
    <w:p w:rsidR="004B456F" w:rsidRDefault="009813CB" w:rsidP="00DD0B97">
      <w:pPr>
        <w:pStyle w:val="1"/>
        <w:jc w:val="left"/>
      </w:pPr>
      <w:r>
        <w:rPr>
          <w:rFonts w:ascii="DejaVu Sans" w:hAnsi="DejaVu Sans" w:cs="DejaVu Sans"/>
          <w:rtl/>
        </w:rPr>
        <w:t xml:space="preserve">7. </w:t>
      </w:r>
      <w:r>
        <w:rPr>
          <w:rFonts w:ascii="DejaVu Sans" w:hAnsi="DejaVu Sans" w:cs="Times New Roman"/>
          <w:rtl/>
        </w:rPr>
        <w:t>تقييم الوظائف والدرجات</w:t>
      </w:r>
    </w:p>
    <w:p w:rsidR="004B456F" w:rsidRDefault="009813CB" w:rsidP="00DD0B97">
      <w:pPr>
        <w:numPr>
          <w:ilvl w:val="0"/>
          <w:numId w:val="1"/>
        </w:numPr>
        <w:jc w:val="left"/>
        <w:rPr>
          <w:rFonts w:hint="eastAsia"/>
        </w:rPr>
      </w:pPr>
      <w:r>
        <w:rPr>
          <w:rFonts w:cs="Times New Roman"/>
          <w:rtl/>
        </w:rPr>
        <w:t xml:space="preserve">تقيم الوظيفة لا </w:t>
      </w:r>
      <w:r>
        <w:rPr>
          <w:rFonts w:cs="Times New Roman"/>
          <w:rtl/>
        </w:rPr>
        <w:t>شاغلها بناءً على نطاق المسؤولية والأثر وحجم القرار والمعرفة والتعقيد والعلاقات وظروف العمل</w:t>
      </w:r>
      <w:r>
        <w:rPr>
          <w:rtl/>
        </w:rPr>
        <w:t>.</w:t>
      </w:r>
    </w:p>
    <w:p w:rsidR="004B456F" w:rsidRDefault="009813CB" w:rsidP="00DD0B97">
      <w:pPr>
        <w:numPr>
          <w:ilvl w:val="0"/>
          <w:numId w:val="1"/>
        </w:numPr>
        <w:jc w:val="left"/>
        <w:rPr>
          <w:rFonts w:hint="eastAsia"/>
        </w:rPr>
      </w:pPr>
      <w:r>
        <w:rPr>
          <w:rFonts w:cs="Times New Roman"/>
          <w:rtl/>
        </w:rPr>
        <w:t>تعتمد الأوصاف الوظيفية قبل التقييم، ويمنع رفع الدرجة لمجرد مكافأة موظف أو معالجة راتب دون مراجعة قيمة الوظيفة</w:t>
      </w:r>
      <w:r>
        <w:rPr>
          <w:rtl/>
        </w:rPr>
        <w:t>.</w:t>
      </w:r>
    </w:p>
    <w:p w:rsidR="004B456F" w:rsidRDefault="009813CB" w:rsidP="00DD0B97">
      <w:pPr>
        <w:numPr>
          <w:ilvl w:val="0"/>
          <w:numId w:val="1"/>
        </w:numPr>
        <w:jc w:val="left"/>
        <w:rPr>
          <w:rFonts w:hint="eastAsia"/>
        </w:rPr>
      </w:pPr>
      <w:r>
        <w:rPr>
          <w:rFonts w:cs="Times New Roman"/>
          <w:rtl/>
        </w:rPr>
        <w:t xml:space="preserve">تتولى </w:t>
      </w:r>
      <w:r>
        <w:rPr>
          <w:rtl/>
        </w:rPr>
        <w:t>[</w:t>
      </w:r>
      <w:r>
        <w:rPr>
          <w:rFonts w:cs="Times New Roman"/>
          <w:rtl/>
        </w:rPr>
        <w:t>لجنة التعويضات</w:t>
      </w:r>
      <w:r>
        <w:rPr>
          <w:rtl/>
        </w:rPr>
        <w:t>/</w:t>
      </w:r>
      <w:r>
        <w:rPr>
          <w:rFonts w:cs="Times New Roman"/>
          <w:rtl/>
        </w:rPr>
        <w:t>الموارد البشرية</w:t>
      </w:r>
      <w:r>
        <w:rPr>
          <w:rtl/>
        </w:rPr>
        <w:t xml:space="preserve">] </w:t>
      </w:r>
      <w:r>
        <w:rPr>
          <w:rFonts w:cs="Times New Roman"/>
          <w:rtl/>
        </w:rPr>
        <w:t>مراجعة التقييم</w:t>
      </w:r>
      <w:r>
        <w:rPr>
          <w:rFonts w:cs="Times New Roman"/>
          <w:rtl/>
        </w:rPr>
        <w:t xml:space="preserve"> واعتماده وفق المنهج والصلاحيات</w:t>
      </w:r>
      <w:r>
        <w:rPr>
          <w:rtl/>
        </w:rPr>
        <w:t>.</w:t>
      </w:r>
    </w:p>
    <w:p w:rsidR="004B456F" w:rsidRDefault="009813CB" w:rsidP="00DD0B97">
      <w:pPr>
        <w:numPr>
          <w:ilvl w:val="0"/>
          <w:numId w:val="1"/>
        </w:numPr>
        <w:jc w:val="left"/>
        <w:rPr>
          <w:rFonts w:hint="eastAsia"/>
        </w:rPr>
      </w:pPr>
      <w:r>
        <w:rPr>
          <w:rFonts w:cs="Times New Roman"/>
          <w:rtl/>
        </w:rPr>
        <w:t>يعاد تقييم الوظيفة عند تغير جوهري ومستمر في نطاقها، وليس بسبب إضافة مهمة مؤقتة أو زيادة حجم العمل وحدها</w:t>
      </w:r>
      <w:r>
        <w:rPr>
          <w:rtl/>
        </w:rPr>
        <w:t>.</w:t>
      </w:r>
    </w:p>
    <w:p w:rsidR="004B456F" w:rsidRDefault="009813CB" w:rsidP="00DD0B97">
      <w:pPr>
        <w:numPr>
          <w:ilvl w:val="0"/>
          <w:numId w:val="1"/>
        </w:numPr>
        <w:jc w:val="left"/>
        <w:rPr>
          <w:rFonts w:hint="eastAsia"/>
        </w:rPr>
      </w:pPr>
      <w:r>
        <w:rPr>
          <w:rFonts w:cs="Times New Roman"/>
          <w:rtl/>
        </w:rPr>
        <w:t>يحق للمدير طلب مراجعة التقييم مع أدلة، ولا يعد الطلب موافقة على تغيير الدرجة أو الأجر</w:t>
      </w:r>
      <w:r>
        <w:rPr>
          <w:rtl/>
        </w:rPr>
        <w:t>.</w:t>
      </w:r>
    </w:p>
    <w:p w:rsidR="004B456F" w:rsidRDefault="009813CB" w:rsidP="00DD0B97">
      <w:pPr>
        <w:pStyle w:val="1"/>
        <w:jc w:val="left"/>
      </w:pPr>
      <w:r>
        <w:rPr>
          <w:rFonts w:ascii="DejaVu Sans" w:hAnsi="DejaVu Sans" w:cs="DejaVu Sans"/>
          <w:rtl/>
        </w:rPr>
        <w:t xml:space="preserve">8. </w:t>
      </w:r>
      <w:r>
        <w:rPr>
          <w:rFonts w:ascii="DejaVu Sans" w:hAnsi="DejaVu Sans" w:cs="Times New Roman"/>
          <w:rtl/>
        </w:rPr>
        <w:t>هيكل الدرجات ونطاقات الرواتب</w:t>
      </w:r>
    </w:p>
    <w:tbl>
      <w:tblPr>
        <w:tblStyle w:val="afa"/>
        <w:tblW w:w="9360" w:type="dxa"/>
        <w:jc w:val="center"/>
        <w:tblLayout w:type="fixed"/>
        <w:tblLook w:val="04A0" w:firstRow="1" w:lastRow="0" w:firstColumn="1" w:lastColumn="0" w:noHBand="0" w:noVBand="1"/>
      </w:tblPr>
      <w:tblGrid>
        <w:gridCol w:w="1200"/>
        <w:gridCol w:w="1600"/>
        <w:gridCol w:w="1760"/>
        <w:gridCol w:w="1600"/>
        <w:gridCol w:w="3200"/>
      </w:tblGrid>
      <w:tr w:rsidR="004B456F">
        <w:trPr>
          <w:tblHeader/>
          <w:jc w:val="center"/>
        </w:trPr>
        <w:tc>
          <w:tcPr>
            <w:tcW w:w="12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الدرجة</w:t>
            </w:r>
          </w:p>
        </w:tc>
        <w:tc>
          <w:tcPr>
            <w:tcW w:w="16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الحد الأدنى</w:t>
            </w:r>
          </w:p>
        </w:tc>
        <w:tc>
          <w:tcPr>
            <w:tcW w:w="17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نقطة الوسط</w:t>
            </w:r>
          </w:p>
        </w:tc>
        <w:tc>
          <w:tcPr>
            <w:tcW w:w="16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الحد الأعلى</w:t>
            </w:r>
          </w:p>
        </w:tc>
        <w:tc>
          <w:tcPr>
            <w:tcW w:w="32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الفئات النموذجية</w:t>
            </w:r>
          </w:p>
        </w:tc>
      </w:tr>
      <w:tr w:rsidR="004B456F">
        <w:trPr>
          <w:jc w:val="center"/>
        </w:trPr>
        <w:tc>
          <w:tcPr>
            <w:tcW w:w="1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[G1]</w:t>
            </w:r>
          </w:p>
        </w:tc>
        <w:tc>
          <w:tcPr>
            <w:tcW w:w="1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1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1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3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r w:rsidR="004B456F">
        <w:trPr>
          <w:jc w:val="center"/>
        </w:trPr>
        <w:tc>
          <w:tcPr>
            <w:tcW w:w="1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[G2]</w:t>
            </w:r>
          </w:p>
        </w:tc>
        <w:tc>
          <w:tcPr>
            <w:tcW w:w="1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1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1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3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r w:rsidR="004B456F">
        <w:trPr>
          <w:jc w:val="center"/>
        </w:trPr>
        <w:tc>
          <w:tcPr>
            <w:tcW w:w="1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lastRenderedPageBreak/>
              <w:t>[G3]</w:t>
            </w:r>
          </w:p>
        </w:tc>
        <w:tc>
          <w:tcPr>
            <w:tcW w:w="1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1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1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3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r w:rsidR="004B456F">
        <w:trPr>
          <w:jc w:val="center"/>
        </w:trPr>
        <w:tc>
          <w:tcPr>
            <w:tcW w:w="1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[G4]</w:t>
            </w:r>
          </w:p>
        </w:tc>
        <w:tc>
          <w:tcPr>
            <w:tcW w:w="1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1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1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c>
          <w:tcPr>
            <w:tcW w:w="3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bl>
    <w:p w:rsidR="004B456F" w:rsidRDefault="004B456F" w:rsidP="00DD0B97">
      <w:pPr>
        <w:spacing w:after="0"/>
        <w:jc w:val="left"/>
        <w:rPr>
          <w:rFonts w:hint="eastAsia"/>
        </w:rPr>
      </w:pPr>
    </w:p>
    <w:p w:rsidR="004B456F" w:rsidRDefault="009813CB" w:rsidP="00DD0B97">
      <w:pPr>
        <w:numPr>
          <w:ilvl w:val="0"/>
          <w:numId w:val="1"/>
        </w:numPr>
        <w:jc w:val="left"/>
        <w:rPr>
          <w:rFonts w:hint="eastAsia"/>
        </w:rPr>
      </w:pPr>
      <w:r>
        <w:rPr>
          <w:rFonts w:cs="Times New Roman"/>
          <w:rtl/>
        </w:rPr>
        <w:t xml:space="preserve">تحدد النطاقات بناءً على بيانات السوق والعدالة والقدرة المالية، وتراجع </w:t>
      </w:r>
      <w:r>
        <w:rPr>
          <w:rtl/>
        </w:rPr>
        <w:t>[</w:t>
      </w:r>
      <w:r>
        <w:rPr>
          <w:rFonts w:cs="Times New Roman"/>
          <w:rtl/>
        </w:rPr>
        <w:t>سنويًا</w:t>
      </w:r>
      <w:r>
        <w:rPr>
          <w:rtl/>
        </w:rPr>
        <w:t>/</w:t>
      </w:r>
      <w:r>
        <w:rPr>
          <w:rFonts w:cs="Times New Roman"/>
          <w:rtl/>
        </w:rPr>
        <w:t>كل سنتين</w:t>
      </w:r>
      <w:r>
        <w:rPr>
          <w:rtl/>
        </w:rPr>
        <w:t xml:space="preserve">] </w:t>
      </w:r>
      <w:r>
        <w:rPr>
          <w:rFonts w:cs="Times New Roman"/>
          <w:rtl/>
        </w:rPr>
        <w:t xml:space="preserve">دون أن يترتب على </w:t>
      </w:r>
      <w:r>
        <w:rPr>
          <w:rFonts w:cs="Times New Roman"/>
          <w:rtl/>
        </w:rPr>
        <w:t>تعديلها زيادة تلقائية</w:t>
      </w:r>
      <w:r>
        <w:rPr>
          <w:rtl/>
        </w:rPr>
        <w:t>.</w:t>
      </w:r>
    </w:p>
    <w:p w:rsidR="004B456F" w:rsidRDefault="009813CB" w:rsidP="00DD0B97">
      <w:pPr>
        <w:numPr>
          <w:ilvl w:val="0"/>
          <w:numId w:val="1"/>
        </w:numPr>
        <w:jc w:val="left"/>
        <w:rPr>
          <w:rFonts w:hint="eastAsia"/>
        </w:rPr>
      </w:pPr>
      <w:r>
        <w:rPr>
          <w:rFonts w:cs="Times New Roman"/>
          <w:rtl/>
        </w:rPr>
        <w:t>تعالج الرواتب الأقل من الحد أو الأعلى من النطاق بخطة موثقة؛ ولا يخفض راتب قائم لمجرد تجاوزه الحد الأعلى دون أساس واتفاق وإجراء نظامي</w:t>
      </w:r>
      <w:r>
        <w:rPr>
          <w:rtl/>
        </w:rPr>
        <w:t>.</w:t>
      </w:r>
    </w:p>
    <w:tbl>
      <w:tblPr>
        <w:tblStyle w:val="afa"/>
        <w:tblW w:w="9360" w:type="dxa"/>
        <w:jc w:val="center"/>
        <w:tblLayout w:type="fixed"/>
        <w:tblLook w:val="04A0" w:firstRow="1" w:lastRow="0" w:firstColumn="1" w:lastColumn="0" w:noHBand="0" w:noVBand="1"/>
      </w:tblPr>
      <w:tblGrid>
        <w:gridCol w:w="9360"/>
      </w:tblGrid>
      <w:tr w:rsidR="004B456F">
        <w:trPr>
          <w:jc w:val="center"/>
        </w:trPr>
        <w:tc>
          <w:tcPr>
            <w:tcW w:w="9360" w:type="dxa"/>
            <w:shd w:val="clear" w:color="auto" w:fill="E8F5F0"/>
            <w:tcMar>
              <w:top w:w="100" w:type="dxa"/>
              <w:left w:w="130" w:type="dxa"/>
              <w:bottom w:w="100" w:type="dxa"/>
              <w:right w:w="130" w:type="dxa"/>
            </w:tcMar>
            <w:vAlign w:val="center"/>
          </w:tcPr>
          <w:p w:rsidR="004B456F" w:rsidRDefault="009813CB" w:rsidP="00DD0B97">
            <w:pPr>
              <w:spacing w:after="40"/>
              <w:jc w:val="left"/>
              <w:rPr>
                <w:rFonts w:hint="eastAsia"/>
              </w:rPr>
            </w:pPr>
            <w:r>
              <w:rPr>
                <w:rFonts w:cs="Times New Roman"/>
                <w:b/>
                <w:color w:val="087F5B"/>
                <w:sz w:val="20"/>
                <w:rtl/>
              </w:rPr>
              <w:t>ضابط قرار</w:t>
            </w:r>
            <w:r>
              <w:rPr>
                <w:b/>
                <w:color w:val="087F5B"/>
                <w:sz w:val="20"/>
                <w:rtl/>
              </w:rPr>
              <w:t xml:space="preserve">: </w:t>
            </w:r>
            <w:r>
              <w:rPr>
                <w:rFonts w:cs="Times New Roman"/>
                <w:sz w:val="19"/>
                <w:rtl/>
              </w:rPr>
              <w:t xml:space="preserve">يجب الفصل بين تعديل نطاقات الرواتب لمواكبة السوق وبين زيادة راتب موظف بعينه؛ الأول يغير </w:t>
            </w:r>
            <w:r>
              <w:rPr>
                <w:rFonts w:cs="Times New Roman"/>
                <w:sz w:val="19"/>
                <w:rtl/>
              </w:rPr>
              <w:t>المرجع، والثاني يحتاج مبررًا وميزانية واعتمادًا مستقلًا</w:t>
            </w:r>
            <w:r>
              <w:rPr>
                <w:sz w:val="19"/>
                <w:rtl/>
              </w:rPr>
              <w:t>.</w:t>
            </w:r>
          </w:p>
        </w:tc>
      </w:tr>
    </w:tbl>
    <w:p w:rsidR="004B456F" w:rsidRDefault="004B456F" w:rsidP="00DD0B97">
      <w:pPr>
        <w:spacing w:after="0"/>
        <w:jc w:val="left"/>
        <w:rPr>
          <w:rFonts w:hint="eastAsia"/>
        </w:rPr>
      </w:pPr>
    </w:p>
    <w:p w:rsidR="004B456F" w:rsidRDefault="009813CB" w:rsidP="00DD0B97">
      <w:pPr>
        <w:pStyle w:val="1"/>
        <w:jc w:val="left"/>
      </w:pPr>
      <w:r>
        <w:rPr>
          <w:rFonts w:ascii="DejaVu Sans" w:hAnsi="DejaVu Sans" w:cs="DejaVu Sans"/>
          <w:rtl/>
        </w:rPr>
        <w:t xml:space="preserve">9. </w:t>
      </w:r>
      <w:r>
        <w:rPr>
          <w:rFonts w:ascii="DejaVu Sans" w:hAnsi="DejaVu Sans" w:cs="Times New Roman"/>
          <w:rtl/>
        </w:rPr>
        <w:t>تحديد راتب التعيين</w:t>
      </w:r>
    </w:p>
    <w:p w:rsidR="004B456F" w:rsidRDefault="009813CB" w:rsidP="00DD0B97">
      <w:pPr>
        <w:numPr>
          <w:ilvl w:val="0"/>
          <w:numId w:val="1"/>
        </w:numPr>
        <w:jc w:val="left"/>
        <w:rPr>
          <w:rFonts w:hint="eastAsia"/>
        </w:rPr>
      </w:pPr>
      <w:r>
        <w:rPr>
          <w:rFonts w:cs="Times New Roman"/>
          <w:rtl/>
        </w:rPr>
        <w:t>يحدد راتب التعيين داخل نطاق الدرجة بعد مقارنة خبرة المرشح وكفاءته ومتطلبات الوظيفة والرواتب الداخلية المشابهة والميزانية</w:t>
      </w:r>
      <w:r>
        <w:rPr>
          <w:rtl/>
        </w:rPr>
        <w:t>.</w:t>
      </w:r>
    </w:p>
    <w:p w:rsidR="004B456F" w:rsidRDefault="009813CB" w:rsidP="00DD0B97">
      <w:pPr>
        <w:numPr>
          <w:ilvl w:val="0"/>
          <w:numId w:val="1"/>
        </w:numPr>
        <w:jc w:val="left"/>
        <w:rPr>
          <w:rFonts w:hint="eastAsia"/>
        </w:rPr>
      </w:pPr>
      <w:r>
        <w:rPr>
          <w:rFonts w:cs="Times New Roman"/>
          <w:rtl/>
        </w:rPr>
        <w:t>لا يعتمد الراتب السابق وحده أساسًا للعرض، ولا يطلب من</w:t>
      </w:r>
      <w:r>
        <w:rPr>
          <w:rFonts w:cs="Times New Roman"/>
          <w:rtl/>
        </w:rPr>
        <w:t xml:space="preserve"> المرشح كشف معلومات لا تلزم لتحديد المقابل العادل</w:t>
      </w:r>
      <w:r>
        <w:rPr>
          <w:rtl/>
        </w:rPr>
        <w:t>.</w:t>
      </w:r>
    </w:p>
    <w:p w:rsidR="004B456F" w:rsidRDefault="009813CB" w:rsidP="00DD0B97">
      <w:pPr>
        <w:numPr>
          <w:ilvl w:val="0"/>
          <w:numId w:val="1"/>
        </w:numPr>
        <w:jc w:val="left"/>
        <w:rPr>
          <w:rFonts w:hint="eastAsia"/>
        </w:rPr>
      </w:pPr>
      <w:r>
        <w:rPr>
          <w:rFonts w:cs="Times New Roman"/>
          <w:rtl/>
        </w:rPr>
        <w:t xml:space="preserve">أي عرض دون الحد أو أعلى النطاق يتطلب مبررًا واعتماد </w:t>
      </w:r>
      <w:r>
        <w:rPr>
          <w:rtl/>
        </w:rPr>
        <w:t>[</w:t>
      </w:r>
      <w:r>
        <w:rPr>
          <w:rFonts w:cs="Times New Roman"/>
          <w:rtl/>
        </w:rPr>
        <w:t>صاحب الصلاحية</w:t>
      </w:r>
      <w:r>
        <w:rPr>
          <w:rtl/>
        </w:rPr>
        <w:t xml:space="preserve">] </w:t>
      </w:r>
      <w:r>
        <w:rPr>
          <w:rFonts w:cs="Times New Roman"/>
          <w:rtl/>
        </w:rPr>
        <w:t>وخطة لمعالجة الأثر على العدالة الداخلية</w:t>
      </w:r>
      <w:r>
        <w:rPr>
          <w:rtl/>
        </w:rPr>
        <w:t>.</w:t>
      </w:r>
    </w:p>
    <w:p w:rsidR="004B456F" w:rsidRDefault="009813CB" w:rsidP="00DD0B97">
      <w:pPr>
        <w:numPr>
          <w:ilvl w:val="0"/>
          <w:numId w:val="1"/>
        </w:numPr>
        <w:jc w:val="left"/>
        <w:rPr>
          <w:rFonts w:hint="eastAsia"/>
        </w:rPr>
      </w:pPr>
      <w:r>
        <w:rPr>
          <w:rFonts w:cs="Times New Roman"/>
          <w:rtl/>
        </w:rPr>
        <w:t xml:space="preserve">توضح في العرض والعقد عناصر الأجر الثابتة والمتغيرة وشروط الاستحقاق ودورية الصرف وعدم الضمان عند </w:t>
      </w:r>
      <w:r>
        <w:rPr>
          <w:rFonts w:cs="Times New Roman"/>
          <w:rtl/>
        </w:rPr>
        <w:t>ارتباطها بالأداء</w:t>
      </w:r>
      <w:r>
        <w:rPr>
          <w:rtl/>
        </w:rPr>
        <w:t>.</w:t>
      </w:r>
    </w:p>
    <w:p w:rsidR="004B456F" w:rsidRDefault="009813CB" w:rsidP="00DD0B97">
      <w:pPr>
        <w:pStyle w:val="1"/>
        <w:jc w:val="left"/>
      </w:pPr>
      <w:r>
        <w:rPr>
          <w:rFonts w:ascii="DejaVu Sans" w:hAnsi="DejaVu Sans" w:cs="DejaVu Sans"/>
          <w:rtl/>
        </w:rPr>
        <w:t xml:space="preserve">10. </w:t>
      </w:r>
      <w:r>
        <w:rPr>
          <w:rFonts w:ascii="DejaVu Sans" w:hAnsi="DejaVu Sans" w:cs="Times New Roman"/>
          <w:rtl/>
        </w:rPr>
        <w:t>المراجعة الدورية للأجور</w:t>
      </w:r>
    </w:p>
    <w:p w:rsidR="004B456F" w:rsidRDefault="009813CB" w:rsidP="00DD0B97">
      <w:pPr>
        <w:numPr>
          <w:ilvl w:val="0"/>
          <w:numId w:val="1"/>
        </w:numPr>
        <w:jc w:val="left"/>
        <w:rPr>
          <w:rFonts w:hint="eastAsia"/>
        </w:rPr>
      </w:pPr>
      <w:r>
        <w:rPr>
          <w:rFonts w:cs="Times New Roman"/>
          <w:rtl/>
        </w:rPr>
        <w:t xml:space="preserve">تجري مراجعة الأجور في </w:t>
      </w:r>
      <w:r>
        <w:rPr>
          <w:rtl/>
        </w:rPr>
        <w:t>[</w:t>
      </w:r>
      <w:r>
        <w:rPr>
          <w:rFonts w:cs="Times New Roman"/>
          <w:rtl/>
        </w:rPr>
        <w:t>الشهر</w:t>
      </w:r>
      <w:r>
        <w:rPr>
          <w:rtl/>
        </w:rPr>
        <w:t xml:space="preserve">] </w:t>
      </w:r>
      <w:r>
        <w:rPr>
          <w:rFonts w:cs="Times New Roman"/>
          <w:rtl/>
        </w:rPr>
        <w:t>من كل عام أو وفق الدورة المالية، ولا تعني المراجعة استحقاق زيادة</w:t>
      </w:r>
      <w:r>
        <w:rPr>
          <w:rtl/>
        </w:rPr>
        <w:t>.</w:t>
      </w:r>
    </w:p>
    <w:p w:rsidR="004B456F" w:rsidRDefault="009813CB" w:rsidP="00DD0B97">
      <w:pPr>
        <w:numPr>
          <w:ilvl w:val="0"/>
          <w:numId w:val="1"/>
        </w:numPr>
        <w:jc w:val="left"/>
        <w:rPr>
          <w:rFonts w:hint="eastAsia"/>
        </w:rPr>
      </w:pPr>
      <w:r>
        <w:rPr>
          <w:rFonts w:cs="Times New Roman"/>
          <w:rtl/>
        </w:rPr>
        <w:t>تؤخذ في الاعتبار</w:t>
      </w:r>
      <w:r>
        <w:rPr>
          <w:rtl/>
        </w:rPr>
        <w:t xml:space="preserve">: </w:t>
      </w:r>
      <w:r>
        <w:rPr>
          <w:rFonts w:cs="Times New Roman"/>
          <w:rtl/>
        </w:rPr>
        <w:t>موقع الراتب داخل النطاق، والأداء المعتمد، والتغير في المسؤوليات، والعدالة الداخلية، والسوق، والم</w:t>
      </w:r>
      <w:r>
        <w:rPr>
          <w:rFonts w:cs="Times New Roman"/>
          <w:rtl/>
        </w:rPr>
        <w:t>يزانية</w:t>
      </w:r>
      <w:r>
        <w:rPr>
          <w:rtl/>
        </w:rPr>
        <w:t>.</w:t>
      </w:r>
    </w:p>
    <w:p w:rsidR="004B456F" w:rsidRDefault="009813CB" w:rsidP="00DD0B97">
      <w:pPr>
        <w:numPr>
          <w:ilvl w:val="0"/>
          <w:numId w:val="1"/>
        </w:numPr>
        <w:jc w:val="left"/>
        <w:rPr>
          <w:rFonts w:hint="eastAsia"/>
        </w:rPr>
      </w:pPr>
      <w:r>
        <w:rPr>
          <w:rFonts w:cs="Times New Roman"/>
          <w:rtl/>
        </w:rPr>
        <w:t>لا تنفذ زيادة بأثر رجعي إلا بقرار واضح يحدد تاريخ الاستحقاق، ولا يعد تأخر الاعتماد وعدًا تلقائيًا بأثر رجعي</w:t>
      </w:r>
      <w:r>
        <w:rPr>
          <w:rtl/>
        </w:rPr>
        <w:t>.</w:t>
      </w:r>
    </w:p>
    <w:p w:rsidR="004B456F" w:rsidRDefault="009813CB" w:rsidP="00DD0B97">
      <w:pPr>
        <w:numPr>
          <w:ilvl w:val="0"/>
          <w:numId w:val="1"/>
        </w:numPr>
        <w:jc w:val="left"/>
        <w:rPr>
          <w:rFonts w:hint="eastAsia"/>
        </w:rPr>
      </w:pPr>
      <w:r>
        <w:rPr>
          <w:rFonts w:cs="Times New Roman"/>
          <w:rtl/>
        </w:rPr>
        <w:t>تبلغ الزيادة كتابة، وتحدث في العقد أو النظام أو المنصة النظامية متى لزم، قبل إدراجها في مسير الرواتب</w:t>
      </w:r>
      <w:r>
        <w:rPr>
          <w:rtl/>
        </w:rPr>
        <w:t>.</w:t>
      </w:r>
    </w:p>
    <w:p w:rsidR="004B456F" w:rsidRDefault="009813CB" w:rsidP="00DD0B97">
      <w:pPr>
        <w:numPr>
          <w:ilvl w:val="0"/>
          <w:numId w:val="1"/>
        </w:numPr>
        <w:jc w:val="left"/>
        <w:rPr>
          <w:rFonts w:hint="eastAsia"/>
        </w:rPr>
      </w:pPr>
      <w:r>
        <w:rPr>
          <w:rFonts w:cs="Times New Roman"/>
          <w:rtl/>
        </w:rPr>
        <w:t>تراجع فروق الزيادات بين الإدارات والف</w:t>
      </w:r>
      <w:r>
        <w:rPr>
          <w:rFonts w:cs="Times New Roman"/>
          <w:rtl/>
        </w:rPr>
        <w:t>ئات لاكتشاف التحيز أو عدم الاتساق دون فرض نسبة موحدة على الجميع</w:t>
      </w:r>
      <w:r>
        <w:rPr>
          <w:rtl/>
        </w:rPr>
        <w:t>.</w:t>
      </w:r>
    </w:p>
    <w:p w:rsidR="004B456F" w:rsidRDefault="009813CB" w:rsidP="00DD0B97">
      <w:pPr>
        <w:pStyle w:val="1"/>
        <w:jc w:val="left"/>
      </w:pPr>
      <w:r>
        <w:rPr>
          <w:rFonts w:ascii="DejaVu Sans" w:hAnsi="DejaVu Sans" w:cs="DejaVu Sans"/>
          <w:rtl/>
        </w:rPr>
        <w:t xml:space="preserve">11. </w:t>
      </w:r>
      <w:r>
        <w:rPr>
          <w:rFonts w:ascii="DejaVu Sans" w:hAnsi="DejaVu Sans" w:cs="Times New Roman"/>
          <w:rtl/>
        </w:rPr>
        <w:t>أنواع تعديلات الراتب</w:t>
      </w:r>
    </w:p>
    <w:tbl>
      <w:tblPr>
        <w:tblStyle w:val="afa"/>
        <w:tblW w:w="9360" w:type="dxa"/>
        <w:jc w:val="center"/>
        <w:tblLayout w:type="fixed"/>
        <w:tblLook w:val="04A0" w:firstRow="1" w:lastRow="0" w:firstColumn="1" w:lastColumn="0" w:noHBand="0" w:noVBand="1"/>
      </w:tblPr>
      <w:tblGrid>
        <w:gridCol w:w="1800"/>
        <w:gridCol w:w="3300"/>
        <w:gridCol w:w="4260"/>
      </w:tblGrid>
      <w:tr w:rsidR="004B456F">
        <w:trPr>
          <w:tblHeader/>
          <w:jc w:val="center"/>
        </w:trPr>
        <w:tc>
          <w:tcPr>
            <w:tcW w:w="18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النوع</w:t>
            </w:r>
          </w:p>
        </w:tc>
        <w:tc>
          <w:tcPr>
            <w:tcW w:w="33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المبرر</w:t>
            </w:r>
          </w:p>
        </w:tc>
        <w:tc>
          <w:tcPr>
            <w:tcW w:w="42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الضابط</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زيادة دورية</w:t>
            </w:r>
          </w:p>
        </w:tc>
        <w:tc>
          <w:tcPr>
            <w:tcW w:w="3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نتيجة دورة المراجعة السنوية</w:t>
            </w:r>
          </w:p>
        </w:tc>
        <w:tc>
          <w:tcPr>
            <w:tcW w:w="4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وفق الأداء والنطاق والميزانية ومصفوفة الزيادة</w:t>
            </w:r>
            <w:r>
              <w:rPr>
                <w:sz w:val="18"/>
                <w:rtl/>
              </w:rPr>
              <w:t>.</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زيادة ترقية</w:t>
            </w:r>
          </w:p>
        </w:tc>
        <w:tc>
          <w:tcPr>
            <w:tcW w:w="3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انتقال معتمد إلى وظيفة أو درجة أعلى</w:t>
            </w:r>
          </w:p>
        </w:tc>
        <w:tc>
          <w:tcPr>
            <w:tcW w:w="4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تسري من </w:t>
            </w:r>
            <w:r>
              <w:rPr>
                <w:rFonts w:cs="Times New Roman"/>
                <w:sz w:val="18"/>
                <w:rtl/>
              </w:rPr>
              <w:t>تاريخ الترقية ولا تقل عن متطلبات النطاق والعقد</w:t>
            </w:r>
            <w:r>
              <w:rPr>
                <w:sz w:val="18"/>
                <w:rtl/>
              </w:rPr>
              <w:t>.</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تعديل سوقي</w:t>
            </w:r>
          </w:p>
        </w:tc>
        <w:tc>
          <w:tcPr>
            <w:tcW w:w="3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فجوة سوقية موثقة لوظيفة أو مهارة</w:t>
            </w:r>
          </w:p>
        </w:tc>
        <w:tc>
          <w:tcPr>
            <w:tcW w:w="4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لا يستخدم كبديل غير موثق عن ترقية أو مكافأة</w:t>
            </w:r>
            <w:r>
              <w:rPr>
                <w:sz w:val="18"/>
                <w:rtl/>
              </w:rPr>
              <w:t>.</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تعديل عدالة</w:t>
            </w:r>
          </w:p>
        </w:tc>
        <w:tc>
          <w:tcPr>
            <w:tcW w:w="3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فارق داخلي غير مبرر</w:t>
            </w:r>
          </w:p>
        </w:tc>
        <w:tc>
          <w:tcPr>
            <w:tcW w:w="4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يستند إلى تحليل متكامل لا مقارنة اسمية بين موظفين فقط</w:t>
            </w:r>
            <w:r>
              <w:rPr>
                <w:sz w:val="18"/>
                <w:rtl/>
              </w:rPr>
              <w:t>.</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lastRenderedPageBreak/>
              <w:t>تعديل احتفاظ</w:t>
            </w:r>
          </w:p>
        </w:tc>
        <w:tc>
          <w:tcPr>
            <w:tcW w:w="3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مخاطر فقد موظف </w:t>
            </w:r>
            <w:r>
              <w:rPr>
                <w:rFonts w:cs="Times New Roman"/>
                <w:sz w:val="18"/>
                <w:rtl/>
              </w:rPr>
              <w:t>ذي أثر أو مهارة حرجة</w:t>
            </w:r>
          </w:p>
        </w:tc>
        <w:tc>
          <w:tcPr>
            <w:tcW w:w="4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استثنائي ولا يعتمد على عرض خارجي وحده</w:t>
            </w:r>
            <w:r>
              <w:rPr>
                <w:sz w:val="18"/>
                <w:rtl/>
              </w:rPr>
              <w:t>.</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تصحيح</w:t>
            </w:r>
          </w:p>
        </w:tc>
        <w:tc>
          <w:tcPr>
            <w:tcW w:w="3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خطأ في العقد أو النظام أو المسير</w:t>
            </w:r>
          </w:p>
        </w:tc>
        <w:tc>
          <w:tcPr>
            <w:tcW w:w="4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يعاد الحق من تاريخ الخطأ بعد التحقق والاعتماد</w:t>
            </w:r>
            <w:r>
              <w:rPr>
                <w:sz w:val="18"/>
                <w:rtl/>
              </w:rPr>
              <w:t>.</w:t>
            </w:r>
          </w:p>
        </w:tc>
      </w:tr>
    </w:tbl>
    <w:p w:rsidR="004B456F" w:rsidRDefault="004B456F" w:rsidP="00DD0B97">
      <w:pPr>
        <w:spacing w:after="0"/>
        <w:jc w:val="left"/>
        <w:rPr>
          <w:rFonts w:hint="eastAsia"/>
        </w:rPr>
      </w:pPr>
    </w:p>
    <w:p w:rsidR="004B456F" w:rsidRDefault="009813CB" w:rsidP="00DD0B97">
      <w:pPr>
        <w:pStyle w:val="1"/>
        <w:jc w:val="left"/>
      </w:pPr>
      <w:r>
        <w:rPr>
          <w:rFonts w:ascii="DejaVu Sans" w:hAnsi="DejaVu Sans" w:cs="DejaVu Sans"/>
          <w:rtl/>
        </w:rPr>
        <w:t xml:space="preserve">12. </w:t>
      </w:r>
      <w:r>
        <w:rPr>
          <w:rFonts w:ascii="DejaVu Sans" w:hAnsi="DejaVu Sans" w:cs="Times New Roman"/>
          <w:rtl/>
        </w:rPr>
        <w:t>الترقية والنقل والتكليف</w:t>
      </w:r>
    </w:p>
    <w:p w:rsidR="004B456F" w:rsidRDefault="009813CB" w:rsidP="00DD0B97">
      <w:pPr>
        <w:pStyle w:val="2"/>
        <w:jc w:val="left"/>
      </w:pPr>
      <w:r>
        <w:rPr>
          <w:rFonts w:ascii="DejaVu Sans" w:hAnsi="DejaVu Sans" w:cs="DejaVu Sans"/>
          <w:rtl/>
        </w:rPr>
        <w:t xml:space="preserve">12.1 </w:t>
      </w:r>
      <w:r>
        <w:rPr>
          <w:rFonts w:ascii="DejaVu Sans" w:hAnsi="DejaVu Sans" w:cs="Times New Roman"/>
          <w:rtl/>
        </w:rPr>
        <w:t>الترقية</w:t>
      </w:r>
    </w:p>
    <w:p w:rsidR="004B456F" w:rsidRDefault="009813CB" w:rsidP="00DD0B97">
      <w:pPr>
        <w:numPr>
          <w:ilvl w:val="0"/>
          <w:numId w:val="1"/>
        </w:numPr>
        <w:jc w:val="left"/>
        <w:rPr>
          <w:rFonts w:hint="eastAsia"/>
        </w:rPr>
      </w:pPr>
      <w:r>
        <w:rPr>
          <w:rFonts w:cs="Times New Roman"/>
          <w:rtl/>
        </w:rPr>
        <w:t xml:space="preserve">تتطلب الترقية انتقالًا فعليًا إلى مسؤوليات ودرجة أعلى واعتماد </w:t>
      </w:r>
      <w:r>
        <w:rPr>
          <w:rFonts w:cs="Times New Roman"/>
          <w:rtl/>
        </w:rPr>
        <w:t>الوظيفة والميزانية، ولا تكفي زيادة حجم العمل أو الأداء المرتفع وحدهما</w:t>
      </w:r>
      <w:r>
        <w:rPr>
          <w:rtl/>
        </w:rPr>
        <w:t>.</w:t>
      </w:r>
    </w:p>
    <w:p w:rsidR="004B456F" w:rsidRDefault="009813CB" w:rsidP="00DD0B97">
      <w:pPr>
        <w:numPr>
          <w:ilvl w:val="0"/>
          <w:numId w:val="1"/>
        </w:numPr>
        <w:jc w:val="left"/>
        <w:rPr>
          <w:rFonts w:hint="eastAsia"/>
        </w:rPr>
      </w:pPr>
      <w:r>
        <w:rPr>
          <w:rFonts w:cs="Times New Roman"/>
          <w:rtl/>
        </w:rPr>
        <w:t xml:space="preserve">يحدد راتب الترقية وفق </w:t>
      </w:r>
      <w:r>
        <w:rPr>
          <w:rtl/>
        </w:rPr>
        <w:t>[</w:t>
      </w:r>
      <w:r>
        <w:rPr>
          <w:rFonts w:cs="Times New Roman"/>
          <w:rtl/>
        </w:rPr>
        <w:t>نسبة</w:t>
      </w:r>
      <w:r>
        <w:rPr>
          <w:rtl/>
        </w:rPr>
        <w:t>/</w:t>
      </w:r>
      <w:r>
        <w:rPr>
          <w:rFonts w:cs="Times New Roman"/>
          <w:rtl/>
        </w:rPr>
        <w:t>حد أدنى</w:t>
      </w:r>
      <w:r>
        <w:rPr>
          <w:rtl/>
        </w:rPr>
        <w:t xml:space="preserve">] </w:t>
      </w:r>
      <w:r>
        <w:rPr>
          <w:rFonts w:cs="Times New Roman"/>
          <w:rtl/>
        </w:rPr>
        <w:t>أو الحد الأدنى للدرجة الجديدة أيهما أنسب، مع مراعاة العدالة وعدم تجاوز النطاق دون اعتماد استثنائي</w:t>
      </w:r>
      <w:r>
        <w:rPr>
          <w:rtl/>
        </w:rPr>
        <w:t>.</w:t>
      </w:r>
    </w:p>
    <w:p w:rsidR="004B456F" w:rsidRDefault="009813CB" w:rsidP="00DD0B97">
      <w:pPr>
        <w:pStyle w:val="2"/>
        <w:jc w:val="left"/>
      </w:pPr>
      <w:r>
        <w:rPr>
          <w:rFonts w:ascii="DejaVu Sans" w:hAnsi="DejaVu Sans" w:cs="DejaVu Sans"/>
          <w:rtl/>
        </w:rPr>
        <w:t xml:space="preserve">12.2 </w:t>
      </w:r>
      <w:r>
        <w:rPr>
          <w:rFonts w:ascii="DejaVu Sans" w:hAnsi="DejaVu Sans" w:cs="Times New Roman"/>
          <w:rtl/>
        </w:rPr>
        <w:t>النقل</w:t>
      </w:r>
    </w:p>
    <w:p w:rsidR="004B456F" w:rsidRDefault="009813CB" w:rsidP="00DD0B97">
      <w:pPr>
        <w:numPr>
          <w:ilvl w:val="0"/>
          <w:numId w:val="1"/>
        </w:numPr>
        <w:jc w:val="left"/>
        <w:rPr>
          <w:rFonts w:hint="eastAsia"/>
        </w:rPr>
      </w:pPr>
      <w:r>
        <w:rPr>
          <w:rFonts w:cs="Times New Roman"/>
          <w:rtl/>
        </w:rPr>
        <w:t>النقل إلى وظيفة في الدرجة نفسها لا يست</w:t>
      </w:r>
      <w:r>
        <w:rPr>
          <w:rFonts w:cs="Times New Roman"/>
          <w:rtl/>
        </w:rPr>
        <w:t>لزم زيادة تلقائية، ويجوز تعديل بدل مرتبط بالموقع أو طبيعة العمل من تاريخ التغيير</w:t>
      </w:r>
      <w:r>
        <w:rPr>
          <w:rtl/>
        </w:rPr>
        <w:t>.</w:t>
      </w:r>
    </w:p>
    <w:p w:rsidR="004B456F" w:rsidRDefault="009813CB" w:rsidP="00DD0B97">
      <w:pPr>
        <w:numPr>
          <w:ilvl w:val="0"/>
          <w:numId w:val="1"/>
        </w:numPr>
        <w:jc w:val="left"/>
        <w:rPr>
          <w:rFonts w:hint="eastAsia"/>
        </w:rPr>
      </w:pPr>
      <w:r>
        <w:rPr>
          <w:rFonts w:cs="Times New Roman"/>
          <w:rtl/>
        </w:rPr>
        <w:t>إذا ترتب على النقل تغيير جوهري في الأجر أو المزايا، فيوثق ويقبل وفق المتطلبات النظامية قبل سريانه</w:t>
      </w:r>
      <w:r>
        <w:rPr>
          <w:rtl/>
        </w:rPr>
        <w:t>.</w:t>
      </w:r>
    </w:p>
    <w:p w:rsidR="004B456F" w:rsidRDefault="009813CB" w:rsidP="00DD0B97">
      <w:pPr>
        <w:pStyle w:val="2"/>
        <w:jc w:val="left"/>
      </w:pPr>
      <w:r>
        <w:rPr>
          <w:rFonts w:ascii="DejaVu Sans" w:hAnsi="DejaVu Sans" w:cs="DejaVu Sans"/>
          <w:rtl/>
        </w:rPr>
        <w:t xml:space="preserve">12.3 </w:t>
      </w:r>
      <w:r>
        <w:rPr>
          <w:rFonts w:ascii="DejaVu Sans" w:hAnsi="DejaVu Sans" w:cs="Times New Roman"/>
          <w:rtl/>
        </w:rPr>
        <w:t>التكليف المؤقت</w:t>
      </w:r>
    </w:p>
    <w:p w:rsidR="004B456F" w:rsidRDefault="009813CB" w:rsidP="00DD0B97">
      <w:pPr>
        <w:numPr>
          <w:ilvl w:val="0"/>
          <w:numId w:val="1"/>
        </w:numPr>
        <w:jc w:val="left"/>
        <w:rPr>
          <w:rFonts w:hint="eastAsia"/>
        </w:rPr>
      </w:pPr>
      <w:r>
        <w:rPr>
          <w:rFonts w:cs="Times New Roman"/>
          <w:rtl/>
        </w:rPr>
        <w:t xml:space="preserve">يجوز منح بدل تكليف قدره </w:t>
      </w:r>
      <w:r>
        <w:rPr>
          <w:rtl/>
        </w:rPr>
        <w:t>[</w:t>
      </w:r>
      <w:r>
        <w:rPr>
          <w:rFonts w:cs="Times New Roman"/>
          <w:rtl/>
        </w:rPr>
        <w:t>نسبة</w:t>
      </w:r>
      <w:r>
        <w:rPr>
          <w:rtl/>
        </w:rPr>
        <w:t>/</w:t>
      </w:r>
      <w:r>
        <w:rPr>
          <w:rFonts w:cs="Times New Roman"/>
          <w:rtl/>
        </w:rPr>
        <w:t>مبلغ</w:t>
      </w:r>
      <w:r>
        <w:rPr>
          <w:rtl/>
        </w:rPr>
        <w:t xml:space="preserve">] </w:t>
      </w:r>
      <w:r>
        <w:rPr>
          <w:rFonts w:cs="Times New Roman"/>
          <w:rtl/>
        </w:rPr>
        <w:t>عند أداء مسؤوليات و</w:t>
      </w:r>
      <w:r>
        <w:rPr>
          <w:rFonts w:cs="Times New Roman"/>
          <w:rtl/>
        </w:rPr>
        <w:t xml:space="preserve">ظيفة أعلى مدة تتجاوز </w:t>
      </w:r>
      <w:r>
        <w:rPr>
          <w:rtl/>
        </w:rPr>
        <w:t xml:space="preserve">[30] </w:t>
      </w:r>
      <w:r>
        <w:rPr>
          <w:rFonts w:cs="Times New Roman"/>
          <w:rtl/>
        </w:rPr>
        <w:t>يومًا وباعتماد مسبق</w:t>
      </w:r>
      <w:r>
        <w:rPr>
          <w:rtl/>
        </w:rPr>
        <w:t>.</w:t>
      </w:r>
    </w:p>
    <w:p w:rsidR="004B456F" w:rsidRDefault="009813CB" w:rsidP="00DD0B97">
      <w:pPr>
        <w:numPr>
          <w:ilvl w:val="0"/>
          <w:numId w:val="1"/>
        </w:numPr>
        <w:jc w:val="left"/>
        <w:rPr>
          <w:rFonts w:hint="eastAsia"/>
        </w:rPr>
      </w:pPr>
      <w:r>
        <w:rPr>
          <w:rFonts w:cs="Times New Roman"/>
          <w:rtl/>
        </w:rPr>
        <w:t>ينتهي البدل بانتهاء التكليف ولا يغير الدرجة أو الراتب الأساسي أو ينشئ حقًا في الترقية ما لم يصدر قرار مستقل</w:t>
      </w:r>
      <w:r>
        <w:rPr>
          <w:rtl/>
        </w:rPr>
        <w:t>.</w:t>
      </w:r>
    </w:p>
    <w:p w:rsidR="004B456F" w:rsidRDefault="009813CB" w:rsidP="00DD0B97">
      <w:pPr>
        <w:pStyle w:val="1"/>
        <w:jc w:val="left"/>
      </w:pPr>
      <w:r>
        <w:rPr>
          <w:rFonts w:ascii="DejaVu Sans" w:hAnsi="DejaVu Sans" w:cs="DejaVu Sans"/>
          <w:rtl/>
        </w:rPr>
        <w:t xml:space="preserve">13. </w:t>
      </w:r>
      <w:r>
        <w:rPr>
          <w:rFonts w:ascii="DejaVu Sans" w:hAnsi="DejaVu Sans" w:cs="Times New Roman"/>
          <w:rtl/>
        </w:rPr>
        <w:t>البدلات الثابتة</w:t>
      </w:r>
    </w:p>
    <w:tbl>
      <w:tblPr>
        <w:tblStyle w:val="afa"/>
        <w:tblW w:w="9360" w:type="dxa"/>
        <w:jc w:val="center"/>
        <w:tblLayout w:type="fixed"/>
        <w:tblLook w:val="04A0" w:firstRow="1" w:lastRow="0" w:firstColumn="1" w:lastColumn="0" w:noHBand="0" w:noVBand="1"/>
      </w:tblPr>
      <w:tblGrid>
        <w:gridCol w:w="1900"/>
        <w:gridCol w:w="4100"/>
        <w:gridCol w:w="3360"/>
      </w:tblGrid>
      <w:tr w:rsidR="004B456F">
        <w:trPr>
          <w:tblHeader/>
          <w:jc w:val="center"/>
        </w:trPr>
        <w:tc>
          <w:tcPr>
            <w:tcW w:w="19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البدل</w:t>
            </w:r>
          </w:p>
        </w:tc>
        <w:tc>
          <w:tcPr>
            <w:tcW w:w="41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أساس الاستحقاق</w:t>
            </w:r>
          </w:p>
        </w:tc>
        <w:tc>
          <w:tcPr>
            <w:tcW w:w="33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آلية الاحتساب</w:t>
            </w:r>
            <w:r>
              <w:rPr>
                <w:b/>
                <w:color w:val="FFFFFF"/>
                <w:sz w:val="18"/>
                <w:rtl/>
              </w:rPr>
              <w:t>/</w:t>
            </w:r>
            <w:r>
              <w:rPr>
                <w:rFonts w:cs="Times New Roman"/>
                <w:b/>
                <w:color w:val="FFFFFF"/>
                <w:sz w:val="18"/>
                <w:rtl/>
              </w:rPr>
              <w:t>الصرف</w:t>
            </w:r>
          </w:p>
        </w:tc>
      </w:tr>
      <w:tr w:rsidR="004B456F">
        <w:trPr>
          <w:jc w:val="center"/>
        </w:trPr>
        <w:tc>
          <w:tcPr>
            <w:tcW w:w="19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بدل السكن</w:t>
            </w:r>
          </w:p>
        </w:tc>
        <w:tc>
          <w:tcPr>
            <w:tcW w:w="41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وفق العقد والدرجة أو السياسة</w:t>
            </w:r>
          </w:p>
        </w:tc>
        <w:tc>
          <w:tcPr>
            <w:tcW w:w="33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نسبة من الأساسي</w:t>
            </w:r>
            <w:r>
              <w:rPr>
                <w:sz w:val="18"/>
                <w:rtl/>
              </w:rPr>
              <w:t>/</w:t>
            </w:r>
            <w:r>
              <w:rPr>
                <w:rFonts w:cs="Times New Roman"/>
                <w:sz w:val="18"/>
                <w:rtl/>
              </w:rPr>
              <w:t>مبلغ</w:t>
            </w:r>
            <w:r>
              <w:rPr>
                <w:sz w:val="18"/>
                <w:rtl/>
              </w:rPr>
              <w:t>/</w:t>
            </w:r>
            <w:r>
              <w:rPr>
                <w:rFonts w:cs="Times New Roman"/>
                <w:sz w:val="18"/>
                <w:rtl/>
              </w:rPr>
              <w:t>سكن عيني</w:t>
            </w:r>
            <w:r>
              <w:rPr>
                <w:sz w:val="18"/>
                <w:rtl/>
              </w:rPr>
              <w:t>]</w:t>
            </w:r>
          </w:p>
        </w:tc>
      </w:tr>
      <w:tr w:rsidR="004B456F">
        <w:trPr>
          <w:jc w:val="center"/>
        </w:trPr>
        <w:tc>
          <w:tcPr>
            <w:tcW w:w="19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بدل النقل</w:t>
            </w:r>
          </w:p>
        </w:tc>
        <w:tc>
          <w:tcPr>
            <w:tcW w:w="41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لتغطية الانتقال المعتاد إلى موقع العمل</w:t>
            </w:r>
          </w:p>
        </w:tc>
        <w:tc>
          <w:tcPr>
            <w:tcW w:w="33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نسبة</w:t>
            </w:r>
            <w:r>
              <w:rPr>
                <w:sz w:val="18"/>
                <w:rtl/>
              </w:rPr>
              <w:t>/</w:t>
            </w:r>
            <w:r>
              <w:rPr>
                <w:rFonts w:cs="Times New Roman"/>
                <w:sz w:val="18"/>
                <w:rtl/>
              </w:rPr>
              <w:t>مبلغ</w:t>
            </w:r>
            <w:r>
              <w:rPr>
                <w:sz w:val="18"/>
                <w:rtl/>
              </w:rPr>
              <w:t>/</w:t>
            </w:r>
            <w:r>
              <w:rPr>
                <w:rFonts w:cs="Times New Roman"/>
                <w:sz w:val="18"/>
                <w:rtl/>
              </w:rPr>
              <w:t>وسيلة نقل</w:t>
            </w:r>
            <w:r>
              <w:rPr>
                <w:sz w:val="18"/>
                <w:rtl/>
              </w:rPr>
              <w:t>]</w:t>
            </w:r>
          </w:p>
        </w:tc>
      </w:tr>
      <w:tr w:rsidR="004B456F">
        <w:trPr>
          <w:jc w:val="center"/>
        </w:trPr>
        <w:tc>
          <w:tcPr>
            <w:tcW w:w="19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بدل الاتصال</w:t>
            </w:r>
          </w:p>
        </w:tc>
        <w:tc>
          <w:tcPr>
            <w:tcW w:w="41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للوظائف التي تتطلب استخدامًا مهنيًا مستمرًا</w:t>
            </w:r>
          </w:p>
        </w:tc>
        <w:tc>
          <w:tcPr>
            <w:tcW w:w="33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مبلغ</w:t>
            </w:r>
            <w:r>
              <w:rPr>
                <w:sz w:val="18"/>
                <w:rtl/>
              </w:rPr>
              <w:t>/</w:t>
            </w:r>
            <w:r>
              <w:rPr>
                <w:rFonts w:cs="Times New Roman"/>
                <w:sz w:val="18"/>
                <w:rtl/>
              </w:rPr>
              <w:t>سقف فاتورة</w:t>
            </w:r>
            <w:r>
              <w:rPr>
                <w:sz w:val="18"/>
                <w:rtl/>
              </w:rPr>
              <w:t>]</w:t>
            </w:r>
          </w:p>
        </w:tc>
      </w:tr>
      <w:tr w:rsidR="004B456F">
        <w:trPr>
          <w:jc w:val="center"/>
        </w:trPr>
        <w:tc>
          <w:tcPr>
            <w:tcW w:w="19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بدل طبيعة العمل</w:t>
            </w:r>
          </w:p>
        </w:tc>
        <w:tc>
          <w:tcPr>
            <w:tcW w:w="41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لظرف أو خطر أو مناوبة محددة</w:t>
            </w:r>
          </w:p>
        </w:tc>
        <w:tc>
          <w:tcPr>
            <w:tcW w:w="33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نسبة</w:t>
            </w:r>
            <w:r>
              <w:rPr>
                <w:sz w:val="18"/>
                <w:rtl/>
              </w:rPr>
              <w:t>/</w:t>
            </w:r>
            <w:r>
              <w:rPr>
                <w:rFonts w:cs="Times New Roman"/>
                <w:sz w:val="18"/>
                <w:rtl/>
              </w:rPr>
              <w:t>مبلغ</w:t>
            </w:r>
            <w:r>
              <w:rPr>
                <w:sz w:val="18"/>
                <w:rtl/>
              </w:rPr>
              <w:t xml:space="preserve">] </w:t>
            </w:r>
            <w:r>
              <w:rPr>
                <w:rFonts w:cs="Times New Roman"/>
                <w:sz w:val="18"/>
                <w:rtl/>
              </w:rPr>
              <w:t>وينتهي بزوال السبب</w:t>
            </w:r>
          </w:p>
        </w:tc>
      </w:tr>
      <w:tr w:rsidR="004B456F">
        <w:trPr>
          <w:jc w:val="center"/>
        </w:trPr>
        <w:tc>
          <w:tcPr>
            <w:tcW w:w="19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بدل الموقع</w:t>
            </w:r>
          </w:p>
        </w:tc>
        <w:tc>
          <w:tcPr>
            <w:tcW w:w="41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لموقع أو منطقة معتمدة</w:t>
            </w:r>
          </w:p>
        </w:tc>
        <w:tc>
          <w:tcPr>
            <w:tcW w:w="33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مبلغ</w:t>
            </w:r>
            <w:r>
              <w:rPr>
                <w:sz w:val="18"/>
                <w:rtl/>
              </w:rPr>
              <w:t xml:space="preserve">] </w:t>
            </w:r>
            <w:r>
              <w:rPr>
                <w:rFonts w:cs="Times New Roman"/>
                <w:sz w:val="18"/>
                <w:rtl/>
              </w:rPr>
              <w:t>من تاريخ المباشرة في الموقع</w:t>
            </w:r>
          </w:p>
        </w:tc>
      </w:tr>
    </w:tbl>
    <w:p w:rsidR="004B456F" w:rsidRDefault="004B456F" w:rsidP="00DD0B97">
      <w:pPr>
        <w:spacing w:after="0"/>
        <w:jc w:val="left"/>
        <w:rPr>
          <w:rFonts w:hint="eastAsia"/>
        </w:rPr>
      </w:pPr>
    </w:p>
    <w:p w:rsidR="004B456F" w:rsidRDefault="009813CB" w:rsidP="00DD0B97">
      <w:pPr>
        <w:numPr>
          <w:ilvl w:val="0"/>
          <w:numId w:val="1"/>
        </w:numPr>
        <w:jc w:val="left"/>
        <w:rPr>
          <w:rFonts w:hint="eastAsia"/>
        </w:rPr>
      </w:pPr>
      <w:r>
        <w:rPr>
          <w:rFonts w:cs="Times New Roman"/>
          <w:rtl/>
        </w:rPr>
        <w:t>يحدد لكل بدل ما إذا كان جزءًا من الأجر الفعلي أو خاضعًا للتأمينات أو يدخل في مستحقات أخرى وفق النظام وطبيعته، ولا يعتمد الاسم وحده لتحديد المعالجة</w:t>
      </w:r>
      <w:r>
        <w:rPr>
          <w:rtl/>
        </w:rPr>
        <w:t>.</w:t>
      </w:r>
    </w:p>
    <w:p w:rsidR="004B456F" w:rsidRDefault="009813CB" w:rsidP="00DD0B97">
      <w:pPr>
        <w:numPr>
          <w:ilvl w:val="0"/>
          <w:numId w:val="1"/>
        </w:numPr>
        <w:jc w:val="left"/>
        <w:rPr>
          <w:rFonts w:hint="eastAsia"/>
        </w:rPr>
      </w:pPr>
      <w:r>
        <w:rPr>
          <w:rFonts w:cs="Times New Roman"/>
          <w:rtl/>
        </w:rPr>
        <w:t xml:space="preserve">لا يوقف بدل تعاقدي أو مستقر إلا عند </w:t>
      </w:r>
      <w:r>
        <w:rPr>
          <w:rFonts w:cs="Times New Roman"/>
          <w:rtl/>
        </w:rPr>
        <w:t>زوال سببه أو وفق نص واضح وإجراء نظامي؛ وتراجع آثار الإيقاف على الأجر والحقوق قبل التنفيذ</w:t>
      </w:r>
      <w:r>
        <w:rPr>
          <w:rtl/>
        </w:rPr>
        <w:t>.</w:t>
      </w:r>
    </w:p>
    <w:p w:rsidR="004B456F" w:rsidRDefault="009813CB" w:rsidP="00DD0B97">
      <w:pPr>
        <w:pStyle w:val="1"/>
        <w:jc w:val="left"/>
      </w:pPr>
      <w:r>
        <w:rPr>
          <w:rFonts w:ascii="DejaVu Sans" w:hAnsi="DejaVu Sans" w:cs="DejaVu Sans"/>
          <w:rtl/>
        </w:rPr>
        <w:lastRenderedPageBreak/>
        <w:t xml:space="preserve">14. </w:t>
      </w:r>
      <w:r>
        <w:rPr>
          <w:rFonts w:ascii="DejaVu Sans" w:hAnsi="DejaVu Sans" w:cs="Times New Roman"/>
          <w:rtl/>
        </w:rPr>
        <w:t>المكافآت والحوافز المتغيرة</w:t>
      </w:r>
    </w:p>
    <w:p w:rsidR="004B456F" w:rsidRDefault="009813CB" w:rsidP="00DD0B97">
      <w:pPr>
        <w:numPr>
          <w:ilvl w:val="0"/>
          <w:numId w:val="1"/>
        </w:numPr>
        <w:jc w:val="left"/>
        <w:rPr>
          <w:rFonts w:hint="eastAsia"/>
        </w:rPr>
      </w:pPr>
      <w:r>
        <w:rPr>
          <w:rFonts w:cs="Times New Roman"/>
          <w:rtl/>
        </w:rPr>
        <w:t>تخضع المكافآت لخطة مكتوبة تحدد الأهلية والمؤشرات والأوزان والحدود ودورة القياس والاعتماد وحالات الانضمام والمغادرة</w:t>
      </w:r>
      <w:r>
        <w:rPr>
          <w:rtl/>
        </w:rPr>
        <w:t>.</w:t>
      </w:r>
    </w:p>
    <w:p w:rsidR="004B456F" w:rsidRDefault="009813CB" w:rsidP="00DD0B97">
      <w:pPr>
        <w:numPr>
          <w:ilvl w:val="0"/>
          <w:numId w:val="1"/>
        </w:numPr>
        <w:jc w:val="left"/>
        <w:rPr>
          <w:rFonts w:hint="eastAsia"/>
        </w:rPr>
      </w:pPr>
      <w:r>
        <w:rPr>
          <w:rFonts w:cs="Times New Roman"/>
          <w:rtl/>
        </w:rPr>
        <w:t>لا تضمن المكافأة إل</w:t>
      </w:r>
      <w:r>
        <w:rPr>
          <w:rFonts w:cs="Times New Roman"/>
          <w:rtl/>
        </w:rPr>
        <w:t>ا إذا نص العقد أو الخطة على استحقاق محدد وتحققت شروطه، ولا يجوز تغيير القواعد بأثر رجعي بعد ظهور النتائج</w:t>
      </w:r>
      <w:r>
        <w:rPr>
          <w:rtl/>
        </w:rPr>
        <w:t>.</w:t>
      </w:r>
    </w:p>
    <w:p w:rsidR="004B456F" w:rsidRDefault="009813CB" w:rsidP="00DD0B97">
      <w:pPr>
        <w:numPr>
          <w:ilvl w:val="0"/>
          <w:numId w:val="1"/>
        </w:numPr>
        <w:jc w:val="left"/>
        <w:rPr>
          <w:rFonts w:hint="eastAsia"/>
        </w:rPr>
      </w:pPr>
      <w:r>
        <w:rPr>
          <w:rFonts w:cs="Times New Roman"/>
          <w:rtl/>
        </w:rPr>
        <w:t>توازن الخطة بين النتائج وطريقة تحقيقها، ويجوز خفض أو استبعاد الحافز عند مخالفة جوهرية موثقة إذا نصت الخطة على ذلك بصورة عادلة</w:t>
      </w:r>
      <w:r>
        <w:rPr>
          <w:rtl/>
        </w:rPr>
        <w:t>.</w:t>
      </w:r>
    </w:p>
    <w:p w:rsidR="004B456F" w:rsidRDefault="009813CB" w:rsidP="00DD0B97">
      <w:pPr>
        <w:numPr>
          <w:ilvl w:val="0"/>
          <w:numId w:val="1"/>
        </w:numPr>
        <w:jc w:val="left"/>
        <w:rPr>
          <w:rFonts w:hint="eastAsia"/>
        </w:rPr>
      </w:pPr>
      <w:r>
        <w:rPr>
          <w:rFonts w:cs="Times New Roman"/>
          <w:rtl/>
        </w:rPr>
        <w:t>تعتمد النتائج من مصدر ب</w:t>
      </w:r>
      <w:r>
        <w:rPr>
          <w:rFonts w:cs="Times New Roman"/>
          <w:rtl/>
        </w:rPr>
        <w:t>يانات موثوق، ويمنح الموظف بيانًا مختصرًا بطريقة الحساب والنتيجة</w:t>
      </w:r>
      <w:r>
        <w:rPr>
          <w:rtl/>
        </w:rPr>
        <w:t>.</w:t>
      </w:r>
    </w:p>
    <w:p w:rsidR="004B456F" w:rsidRDefault="009813CB" w:rsidP="00DD0B97">
      <w:pPr>
        <w:numPr>
          <w:ilvl w:val="0"/>
          <w:numId w:val="1"/>
        </w:numPr>
        <w:jc w:val="left"/>
        <w:rPr>
          <w:rFonts w:hint="eastAsia"/>
        </w:rPr>
      </w:pPr>
      <w:r>
        <w:rPr>
          <w:rFonts w:cs="Times New Roman"/>
          <w:rtl/>
        </w:rPr>
        <w:t>تحدد معالجة من انضم أو نقل أو غاب أو انتهت خدمته خلال الدورة مسبقًا، ويمنع اتخاذ قرار فردي غير متسق بعد نهاية الفترة</w:t>
      </w:r>
      <w:r>
        <w:rPr>
          <w:rtl/>
        </w:rPr>
        <w:t>.</w:t>
      </w:r>
    </w:p>
    <w:p w:rsidR="004B456F" w:rsidRDefault="009813CB" w:rsidP="00DD0B97">
      <w:pPr>
        <w:pStyle w:val="1"/>
        <w:jc w:val="left"/>
      </w:pPr>
      <w:r>
        <w:rPr>
          <w:rFonts w:ascii="DejaVu Sans" w:hAnsi="DejaVu Sans" w:cs="DejaVu Sans"/>
          <w:rtl/>
        </w:rPr>
        <w:t xml:space="preserve">15. </w:t>
      </w:r>
      <w:r>
        <w:rPr>
          <w:rFonts w:ascii="DejaVu Sans" w:hAnsi="DejaVu Sans" w:cs="Times New Roman"/>
          <w:rtl/>
        </w:rPr>
        <w:t>العمولات وحوافز المبيعات</w:t>
      </w:r>
    </w:p>
    <w:p w:rsidR="004B456F" w:rsidRDefault="009813CB" w:rsidP="00DD0B97">
      <w:pPr>
        <w:numPr>
          <w:ilvl w:val="0"/>
          <w:numId w:val="1"/>
        </w:numPr>
        <w:jc w:val="left"/>
        <w:rPr>
          <w:rFonts w:hint="eastAsia"/>
        </w:rPr>
      </w:pPr>
      <w:r>
        <w:rPr>
          <w:rFonts w:cs="Times New Roman"/>
          <w:rtl/>
        </w:rPr>
        <w:t>تحدد خطة العمولة</w:t>
      </w:r>
      <w:r>
        <w:rPr>
          <w:rtl/>
        </w:rPr>
        <w:t xml:space="preserve">: </w:t>
      </w:r>
      <w:r>
        <w:rPr>
          <w:rFonts w:cs="Times New Roman"/>
          <w:rtl/>
        </w:rPr>
        <w:t>المنتجات والعملاء والمنطقة</w:t>
      </w:r>
      <w:r>
        <w:rPr>
          <w:rFonts w:cs="Times New Roman"/>
          <w:rtl/>
        </w:rPr>
        <w:t>، قيمة البيع المؤهل، تاريخ تحقق الاستحقاق، الإلغاء والمرتجعات، التقاسم، السقف، ومواعيد الدفع</w:t>
      </w:r>
      <w:r>
        <w:rPr>
          <w:rtl/>
        </w:rPr>
        <w:t>.</w:t>
      </w:r>
    </w:p>
    <w:p w:rsidR="004B456F" w:rsidRDefault="009813CB" w:rsidP="00DD0B97">
      <w:pPr>
        <w:numPr>
          <w:ilvl w:val="0"/>
          <w:numId w:val="1"/>
        </w:numPr>
        <w:jc w:val="left"/>
        <w:rPr>
          <w:rFonts w:hint="eastAsia"/>
        </w:rPr>
      </w:pPr>
      <w:r>
        <w:rPr>
          <w:rFonts w:cs="Times New Roman"/>
          <w:rtl/>
        </w:rPr>
        <w:t>لا تخصم عمولة مكتسبة لمجرد تحصيل متأخر أو إلغاء خارج سيطرة الموظف إلا وفق شروط واضحة ومشروعة معلنة مسبقًا</w:t>
      </w:r>
      <w:r>
        <w:rPr>
          <w:rtl/>
        </w:rPr>
        <w:t>.</w:t>
      </w:r>
    </w:p>
    <w:p w:rsidR="004B456F" w:rsidRDefault="009813CB" w:rsidP="00DD0B97">
      <w:pPr>
        <w:numPr>
          <w:ilvl w:val="0"/>
          <w:numId w:val="1"/>
        </w:numPr>
        <w:jc w:val="left"/>
        <w:rPr>
          <w:rFonts w:hint="eastAsia"/>
        </w:rPr>
      </w:pPr>
      <w:r>
        <w:rPr>
          <w:rFonts w:cs="Times New Roman"/>
          <w:rtl/>
        </w:rPr>
        <w:t>تراجع النزاعات على الإسناد أو قيمة الصفقة قبل إقفال الد</w:t>
      </w:r>
      <w:r>
        <w:rPr>
          <w:rFonts w:cs="Times New Roman"/>
          <w:rtl/>
        </w:rPr>
        <w:t>ورة، ويحتفظ بسجل موافقات الاستثناءات</w:t>
      </w:r>
      <w:r>
        <w:rPr>
          <w:rtl/>
        </w:rPr>
        <w:t>.</w:t>
      </w:r>
    </w:p>
    <w:p w:rsidR="004B456F" w:rsidRDefault="009813CB" w:rsidP="00DD0B97">
      <w:pPr>
        <w:numPr>
          <w:ilvl w:val="0"/>
          <w:numId w:val="1"/>
        </w:numPr>
        <w:jc w:val="left"/>
        <w:rPr>
          <w:rFonts w:hint="eastAsia"/>
        </w:rPr>
      </w:pPr>
      <w:r>
        <w:rPr>
          <w:rFonts w:cs="Times New Roman"/>
          <w:rtl/>
        </w:rPr>
        <w:t>إذا كانت العمولة عنصرًا من عناصر الأجر وفق طبيعتها والعقد، تعالج آثارها النظامية والتأمينية ومستحقات نهاية العلاقة وفق الأساس الصحيح</w:t>
      </w:r>
      <w:r>
        <w:rPr>
          <w:rtl/>
        </w:rPr>
        <w:t>.</w:t>
      </w:r>
    </w:p>
    <w:p w:rsidR="004B456F" w:rsidRDefault="009813CB" w:rsidP="00DD0B97">
      <w:pPr>
        <w:pStyle w:val="1"/>
        <w:jc w:val="left"/>
      </w:pPr>
      <w:r>
        <w:rPr>
          <w:rFonts w:ascii="DejaVu Sans" w:hAnsi="DejaVu Sans" w:cs="DejaVu Sans"/>
          <w:rtl/>
        </w:rPr>
        <w:t xml:space="preserve">16. </w:t>
      </w:r>
      <w:r>
        <w:rPr>
          <w:rFonts w:ascii="DejaVu Sans" w:hAnsi="DejaVu Sans" w:cs="Times New Roman"/>
          <w:rtl/>
        </w:rPr>
        <w:t>المزايا العينية والمصروفات</w:t>
      </w:r>
    </w:p>
    <w:p w:rsidR="004B456F" w:rsidRDefault="009813CB" w:rsidP="00DD0B97">
      <w:pPr>
        <w:numPr>
          <w:ilvl w:val="0"/>
          <w:numId w:val="1"/>
        </w:numPr>
        <w:jc w:val="left"/>
        <w:rPr>
          <w:rFonts w:hint="eastAsia"/>
        </w:rPr>
      </w:pPr>
      <w:r>
        <w:rPr>
          <w:rFonts w:cs="Times New Roman"/>
          <w:rtl/>
        </w:rPr>
        <w:t>توضح شروط الأهلية والاستخدام والاسترداد للمركبة والسك</w:t>
      </w:r>
      <w:r>
        <w:rPr>
          <w:rFonts w:cs="Times New Roman"/>
          <w:rtl/>
        </w:rPr>
        <w:t>ن والتأمين والأجهزة وأي ميزة عينية، وما إذا كانت مرتبطة بالوظيفة أو الدرجة أو موقع العمل</w:t>
      </w:r>
      <w:r>
        <w:rPr>
          <w:rtl/>
        </w:rPr>
        <w:t>.</w:t>
      </w:r>
    </w:p>
    <w:p w:rsidR="004B456F" w:rsidRDefault="009813CB" w:rsidP="00DD0B97">
      <w:pPr>
        <w:numPr>
          <w:ilvl w:val="0"/>
          <w:numId w:val="1"/>
        </w:numPr>
        <w:jc w:val="left"/>
        <w:rPr>
          <w:rFonts w:hint="eastAsia"/>
        </w:rPr>
      </w:pPr>
      <w:r>
        <w:rPr>
          <w:rFonts w:cs="Times New Roman"/>
          <w:rtl/>
        </w:rPr>
        <w:t>المصروف المسترد مقابل إنفاق عمل فعلي ليس بدلًا أو أجرًا لمجرد تكراره، ويحتاج مستندًا وسقفًا وموافقة وفق سياسة المصروفات</w:t>
      </w:r>
      <w:r>
        <w:rPr>
          <w:rtl/>
        </w:rPr>
        <w:t>.</w:t>
      </w:r>
    </w:p>
    <w:p w:rsidR="004B456F" w:rsidRDefault="009813CB" w:rsidP="00DD0B97">
      <w:pPr>
        <w:numPr>
          <w:ilvl w:val="0"/>
          <w:numId w:val="1"/>
        </w:numPr>
        <w:jc w:val="left"/>
        <w:rPr>
          <w:rFonts w:hint="eastAsia"/>
        </w:rPr>
      </w:pPr>
      <w:r>
        <w:rPr>
          <w:rFonts w:cs="Times New Roman"/>
          <w:rtl/>
        </w:rPr>
        <w:t>لا تحول المصروفات إلى مبالغ ثابتة للتحايل على</w:t>
      </w:r>
      <w:r>
        <w:rPr>
          <w:rFonts w:cs="Times New Roman"/>
          <w:rtl/>
        </w:rPr>
        <w:t xml:space="preserve"> تعريف الأجر أو الاشتراكات، كما لا تعامل ميزة مستحقة على أنها عهدة لتجنب حقوق الموظف</w:t>
      </w:r>
      <w:r>
        <w:rPr>
          <w:rtl/>
        </w:rPr>
        <w:t>.</w:t>
      </w:r>
    </w:p>
    <w:p w:rsidR="004B456F" w:rsidRDefault="009813CB" w:rsidP="00DD0B97">
      <w:pPr>
        <w:numPr>
          <w:ilvl w:val="0"/>
          <w:numId w:val="1"/>
        </w:numPr>
        <w:jc w:val="left"/>
        <w:rPr>
          <w:rFonts w:hint="eastAsia"/>
        </w:rPr>
      </w:pPr>
      <w:r>
        <w:rPr>
          <w:rFonts w:cs="Times New Roman"/>
          <w:rtl/>
        </w:rPr>
        <w:t>تعاد الأصول عند انتهاء الاستحقاق أو الخدمة وفق إجراء واضح، ولا تخصم قيمتها من الأجر إلا ضمن الحالات والإجراءات النظامية</w:t>
      </w:r>
      <w:r>
        <w:rPr>
          <w:rtl/>
        </w:rPr>
        <w:t>.</w:t>
      </w:r>
    </w:p>
    <w:p w:rsidR="004B456F" w:rsidRDefault="009813CB" w:rsidP="00DD0B97">
      <w:pPr>
        <w:pStyle w:val="1"/>
        <w:jc w:val="left"/>
      </w:pPr>
      <w:r>
        <w:rPr>
          <w:rFonts w:ascii="DejaVu Sans" w:hAnsi="DejaVu Sans" w:cs="DejaVu Sans"/>
          <w:rtl/>
        </w:rPr>
        <w:t xml:space="preserve">17. </w:t>
      </w:r>
      <w:r>
        <w:rPr>
          <w:rFonts w:ascii="DejaVu Sans" w:hAnsi="DejaVu Sans" w:cs="Times New Roman"/>
          <w:rtl/>
        </w:rPr>
        <w:t>العمل الإضافي والبدلات التشغيلية</w:t>
      </w:r>
    </w:p>
    <w:p w:rsidR="004B456F" w:rsidRDefault="009813CB" w:rsidP="00DD0B97">
      <w:pPr>
        <w:numPr>
          <w:ilvl w:val="0"/>
          <w:numId w:val="1"/>
        </w:numPr>
        <w:jc w:val="left"/>
        <w:rPr>
          <w:rFonts w:hint="eastAsia"/>
        </w:rPr>
      </w:pPr>
      <w:r>
        <w:rPr>
          <w:rFonts w:cs="Times New Roman"/>
          <w:rtl/>
        </w:rPr>
        <w:t>يعوض العمل ا</w:t>
      </w:r>
      <w:r>
        <w:rPr>
          <w:rFonts w:cs="Times New Roman"/>
          <w:rtl/>
        </w:rPr>
        <w:t xml:space="preserve">لإضافي وفق نظام العمل والسياسة المعتمدة، وبوجه عام بأجر الساعة مضافًا إليه </w:t>
      </w:r>
      <w:r>
        <w:rPr>
          <w:rtl/>
        </w:rPr>
        <w:t xml:space="preserve">50% </w:t>
      </w:r>
      <w:r>
        <w:rPr>
          <w:rFonts w:cs="Times New Roman"/>
          <w:rtl/>
        </w:rPr>
        <w:t>من الأجر الأساسي، أو وفق البديل النظامي الجائز والمعتمد</w:t>
      </w:r>
      <w:r>
        <w:rPr>
          <w:rtl/>
        </w:rPr>
        <w:t>.</w:t>
      </w:r>
    </w:p>
    <w:p w:rsidR="004B456F" w:rsidRDefault="009813CB" w:rsidP="00DD0B97">
      <w:pPr>
        <w:numPr>
          <w:ilvl w:val="0"/>
          <w:numId w:val="1"/>
        </w:numPr>
        <w:jc w:val="left"/>
        <w:rPr>
          <w:rFonts w:hint="eastAsia"/>
        </w:rPr>
      </w:pPr>
      <w:r>
        <w:rPr>
          <w:rFonts w:cs="Times New Roman"/>
          <w:rtl/>
        </w:rPr>
        <w:t xml:space="preserve">لا تسقط الساعات الفعلية المعلومة للمنشأة لمجرد نقص الموافقة المسبقة؛ تصحح المخالفة الإجرائية ويعالج الاستحقاق على أساسه </w:t>
      </w:r>
      <w:r>
        <w:rPr>
          <w:rFonts w:cs="Times New Roman"/>
          <w:rtl/>
        </w:rPr>
        <w:t>النظامي</w:t>
      </w:r>
      <w:r>
        <w:rPr>
          <w:rtl/>
        </w:rPr>
        <w:t>.</w:t>
      </w:r>
    </w:p>
    <w:p w:rsidR="004B456F" w:rsidRDefault="009813CB" w:rsidP="00DD0B97">
      <w:pPr>
        <w:numPr>
          <w:ilvl w:val="0"/>
          <w:numId w:val="1"/>
        </w:numPr>
        <w:jc w:val="left"/>
        <w:rPr>
          <w:rFonts w:hint="eastAsia"/>
        </w:rPr>
      </w:pPr>
      <w:r>
        <w:rPr>
          <w:rFonts w:cs="Times New Roman"/>
          <w:rtl/>
        </w:rPr>
        <w:t xml:space="preserve">تحدد بدلات المناوبة أو العمل الليلي أو الاستدعاء أو العطلات في </w:t>
      </w:r>
      <w:r>
        <w:rPr>
          <w:rtl/>
        </w:rPr>
        <w:t>[</w:t>
      </w:r>
      <w:r>
        <w:rPr>
          <w:rFonts w:cs="Times New Roman"/>
          <w:rtl/>
        </w:rPr>
        <w:t>جدول البدلات</w:t>
      </w:r>
      <w:r>
        <w:rPr>
          <w:rtl/>
        </w:rPr>
        <w:t xml:space="preserve">] </w:t>
      </w:r>
      <w:r>
        <w:rPr>
          <w:rFonts w:cs="Times New Roman"/>
          <w:rtl/>
        </w:rPr>
        <w:t>مع شروط عدم الازدواج ومتى يبدأ وينتهي الاستحقاق</w:t>
      </w:r>
      <w:r>
        <w:rPr>
          <w:rtl/>
        </w:rPr>
        <w:t>.</w:t>
      </w:r>
    </w:p>
    <w:p w:rsidR="004B456F" w:rsidRDefault="009813CB" w:rsidP="00DD0B97">
      <w:pPr>
        <w:numPr>
          <w:ilvl w:val="0"/>
          <w:numId w:val="1"/>
        </w:numPr>
        <w:jc w:val="left"/>
        <w:rPr>
          <w:rFonts w:hint="eastAsia"/>
        </w:rPr>
      </w:pPr>
      <w:r>
        <w:rPr>
          <w:rFonts w:cs="Times New Roman"/>
          <w:rtl/>
        </w:rPr>
        <w:t>لا يعد الحافز أو المكافأة بديلًا عن مقابل العمل الإضافي الواجب ما لم يسمح النظام ببديل محدد واستوفيت شروطه</w:t>
      </w:r>
      <w:r>
        <w:rPr>
          <w:rtl/>
        </w:rPr>
        <w:t>.</w:t>
      </w:r>
    </w:p>
    <w:p w:rsidR="004B456F" w:rsidRDefault="009813CB" w:rsidP="00DD0B97">
      <w:pPr>
        <w:pStyle w:val="1"/>
        <w:jc w:val="left"/>
      </w:pPr>
      <w:r>
        <w:rPr>
          <w:rFonts w:ascii="DejaVu Sans" w:hAnsi="DejaVu Sans" w:cs="DejaVu Sans"/>
          <w:rtl/>
        </w:rPr>
        <w:lastRenderedPageBreak/>
        <w:t xml:space="preserve">18. </w:t>
      </w:r>
      <w:r>
        <w:rPr>
          <w:rFonts w:ascii="DejaVu Sans" w:hAnsi="DejaVu Sans" w:cs="Times New Roman"/>
          <w:rtl/>
        </w:rPr>
        <w:t>دورة الر</w:t>
      </w:r>
      <w:r>
        <w:rPr>
          <w:rFonts w:ascii="DejaVu Sans" w:hAnsi="DejaVu Sans" w:cs="Times New Roman"/>
          <w:rtl/>
        </w:rPr>
        <w:t>واتب</w:t>
      </w:r>
    </w:p>
    <w:tbl>
      <w:tblPr>
        <w:tblStyle w:val="afa"/>
        <w:tblW w:w="9360" w:type="dxa"/>
        <w:jc w:val="center"/>
        <w:tblLayout w:type="fixed"/>
        <w:tblLook w:val="04A0" w:firstRow="1" w:lastRow="0" w:firstColumn="1" w:lastColumn="0" w:noHBand="0" w:noVBand="1"/>
      </w:tblPr>
      <w:tblGrid>
        <w:gridCol w:w="1500"/>
        <w:gridCol w:w="3600"/>
        <w:gridCol w:w="2200"/>
        <w:gridCol w:w="2060"/>
      </w:tblGrid>
      <w:tr w:rsidR="004B456F">
        <w:trPr>
          <w:tblHeader/>
          <w:jc w:val="center"/>
        </w:trPr>
        <w:tc>
          <w:tcPr>
            <w:tcW w:w="15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المرحلة</w:t>
            </w:r>
          </w:p>
        </w:tc>
        <w:tc>
          <w:tcPr>
            <w:tcW w:w="36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الإجراء</w:t>
            </w:r>
          </w:p>
        </w:tc>
        <w:tc>
          <w:tcPr>
            <w:tcW w:w="22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المسؤول</w:t>
            </w:r>
          </w:p>
        </w:tc>
        <w:tc>
          <w:tcPr>
            <w:tcW w:w="20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الموعد</w:t>
            </w:r>
          </w:p>
        </w:tc>
      </w:tr>
      <w:tr w:rsidR="004B456F">
        <w:trPr>
          <w:jc w:val="center"/>
        </w:trPr>
        <w:tc>
          <w:tcPr>
            <w:tcW w:w="1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1. </w:t>
            </w:r>
            <w:r>
              <w:rPr>
                <w:rFonts w:cs="Times New Roman"/>
                <w:sz w:val="18"/>
                <w:rtl/>
              </w:rPr>
              <w:t>جمع المدخلات</w:t>
            </w:r>
          </w:p>
        </w:tc>
        <w:tc>
          <w:tcPr>
            <w:tcW w:w="3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الحضور والإجازات والتغييرات والحوافز والاستقطاعات</w:t>
            </w:r>
          </w:p>
        </w:tc>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الموارد البشرية</w:t>
            </w:r>
            <w:r>
              <w:rPr>
                <w:sz w:val="18"/>
                <w:rtl/>
              </w:rPr>
              <w:t>/</w:t>
            </w:r>
            <w:r>
              <w:rPr>
                <w:rFonts w:cs="Times New Roman"/>
                <w:sz w:val="18"/>
                <w:rtl/>
              </w:rPr>
              <w:t>الإدارات</w:t>
            </w:r>
          </w:p>
        </w:tc>
        <w:tc>
          <w:tcPr>
            <w:tcW w:w="20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حتى </w:t>
            </w:r>
            <w:r>
              <w:rPr>
                <w:sz w:val="18"/>
                <w:rtl/>
              </w:rPr>
              <w:t>[</w:t>
            </w:r>
            <w:r>
              <w:rPr>
                <w:rFonts w:cs="Times New Roman"/>
                <w:sz w:val="18"/>
                <w:rtl/>
              </w:rPr>
              <w:t>التاريخ</w:t>
            </w:r>
            <w:r>
              <w:rPr>
                <w:sz w:val="18"/>
                <w:rtl/>
              </w:rPr>
              <w:t>]</w:t>
            </w:r>
          </w:p>
        </w:tc>
      </w:tr>
      <w:tr w:rsidR="004B456F">
        <w:trPr>
          <w:jc w:val="center"/>
        </w:trPr>
        <w:tc>
          <w:tcPr>
            <w:tcW w:w="1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2. </w:t>
            </w:r>
            <w:r>
              <w:rPr>
                <w:rFonts w:cs="Times New Roman"/>
                <w:sz w:val="18"/>
                <w:rtl/>
              </w:rPr>
              <w:t>المعالجة</w:t>
            </w:r>
          </w:p>
        </w:tc>
        <w:tc>
          <w:tcPr>
            <w:tcW w:w="3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احتساب الإجمالي والاستقطاعات وصافي الأجر</w:t>
            </w:r>
          </w:p>
        </w:tc>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الرواتب</w:t>
            </w:r>
          </w:p>
        </w:tc>
        <w:tc>
          <w:tcPr>
            <w:tcW w:w="20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التاريخ</w:t>
            </w:r>
            <w:r>
              <w:rPr>
                <w:sz w:val="18"/>
                <w:rtl/>
              </w:rPr>
              <w:t>]</w:t>
            </w:r>
          </w:p>
        </w:tc>
      </w:tr>
      <w:tr w:rsidR="004B456F">
        <w:trPr>
          <w:jc w:val="center"/>
        </w:trPr>
        <w:tc>
          <w:tcPr>
            <w:tcW w:w="1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3. </w:t>
            </w:r>
            <w:r>
              <w:rPr>
                <w:rFonts w:cs="Times New Roman"/>
                <w:sz w:val="18"/>
                <w:rtl/>
              </w:rPr>
              <w:t>المراجعة</w:t>
            </w:r>
          </w:p>
        </w:tc>
        <w:tc>
          <w:tcPr>
            <w:tcW w:w="3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مطابقة العقود والتغييرات </w:t>
            </w:r>
            <w:r>
              <w:rPr>
                <w:rFonts w:cs="Times New Roman"/>
                <w:sz w:val="18"/>
                <w:rtl/>
              </w:rPr>
              <w:t>والتقارير والفروقات</w:t>
            </w:r>
          </w:p>
        </w:tc>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مراجع مستقل</w:t>
            </w:r>
          </w:p>
        </w:tc>
        <w:tc>
          <w:tcPr>
            <w:tcW w:w="20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التاريخ</w:t>
            </w:r>
            <w:r>
              <w:rPr>
                <w:sz w:val="18"/>
                <w:rtl/>
              </w:rPr>
              <w:t>]</w:t>
            </w:r>
          </w:p>
        </w:tc>
      </w:tr>
      <w:tr w:rsidR="004B456F">
        <w:trPr>
          <w:jc w:val="center"/>
        </w:trPr>
        <w:tc>
          <w:tcPr>
            <w:tcW w:w="1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4. </w:t>
            </w:r>
            <w:r>
              <w:rPr>
                <w:rFonts w:cs="Times New Roman"/>
                <w:sz w:val="18"/>
                <w:rtl/>
              </w:rPr>
              <w:t>الاعتماد</w:t>
            </w:r>
          </w:p>
        </w:tc>
        <w:tc>
          <w:tcPr>
            <w:tcW w:w="3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اعتماد المسير وملف التحويل</w:t>
            </w:r>
          </w:p>
        </w:tc>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صاحب الصلاحية</w:t>
            </w:r>
            <w:r>
              <w:rPr>
                <w:sz w:val="18"/>
                <w:rtl/>
              </w:rPr>
              <w:t>]</w:t>
            </w:r>
          </w:p>
        </w:tc>
        <w:tc>
          <w:tcPr>
            <w:tcW w:w="20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التاريخ</w:t>
            </w:r>
            <w:r>
              <w:rPr>
                <w:sz w:val="18"/>
                <w:rtl/>
              </w:rPr>
              <w:t>]</w:t>
            </w:r>
          </w:p>
        </w:tc>
      </w:tr>
      <w:tr w:rsidR="004B456F">
        <w:trPr>
          <w:jc w:val="center"/>
        </w:trPr>
        <w:tc>
          <w:tcPr>
            <w:tcW w:w="1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5. </w:t>
            </w:r>
            <w:r>
              <w:rPr>
                <w:rFonts w:cs="Times New Roman"/>
                <w:sz w:val="18"/>
                <w:rtl/>
              </w:rPr>
              <w:t>الصرف</w:t>
            </w:r>
          </w:p>
        </w:tc>
        <w:tc>
          <w:tcPr>
            <w:tcW w:w="3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تحويل الأجور وإصدار البيانات</w:t>
            </w:r>
          </w:p>
        </w:tc>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المالية</w:t>
            </w:r>
          </w:p>
        </w:tc>
        <w:tc>
          <w:tcPr>
            <w:tcW w:w="20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يوم </w:t>
            </w:r>
            <w:r>
              <w:rPr>
                <w:sz w:val="18"/>
                <w:rtl/>
              </w:rPr>
              <w:t xml:space="preserve">[ ] </w:t>
            </w:r>
            <w:r>
              <w:rPr>
                <w:rFonts w:cs="Times New Roman"/>
                <w:sz w:val="18"/>
                <w:rtl/>
              </w:rPr>
              <w:t>من الشهر</w:t>
            </w:r>
          </w:p>
        </w:tc>
      </w:tr>
      <w:tr w:rsidR="004B456F">
        <w:trPr>
          <w:jc w:val="center"/>
        </w:trPr>
        <w:tc>
          <w:tcPr>
            <w:tcW w:w="1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6. </w:t>
            </w:r>
            <w:r>
              <w:rPr>
                <w:rFonts w:cs="Times New Roman"/>
                <w:sz w:val="18"/>
                <w:rtl/>
              </w:rPr>
              <w:t>المطابقة</w:t>
            </w:r>
          </w:p>
        </w:tc>
        <w:tc>
          <w:tcPr>
            <w:tcW w:w="3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مطابقة البنك والرفض والمرتجعات وحماية الأجور</w:t>
            </w:r>
          </w:p>
        </w:tc>
        <w:tc>
          <w:tcPr>
            <w:tcW w:w="22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الرواتب</w:t>
            </w:r>
            <w:r>
              <w:rPr>
                <w:sz w:val="18"/>
                <w:rtl/>
              </w:rPr>
              <w:t>/</w:t>
            </w:r>
            <w:r>
              <w:rPr>
                <w:rFonts w:cs="Times New Roman"/>
                <w:sz w:val="18"/>
                <w:rtl/>
              </w:rPr>
              <w:t>المالية</w:t>
            </w:r>
          </w:p>
        </w:tc>
        <w:tc>
          <w:tcPr>
            <w:tcW w:w="20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خلال </w:t>
            </w:r>
            <w:r>
              <w:rPr>
                <w:sz w:val="18"/>
                <w:rtl/>
              </w:rPr>
              <w:t>[</w:t>
            </w:r>
            <w:r>
              <w:rPr>
                <w:rFonts w:cs="Times New Roman"/>
                <w:sz w:val="18"/>
                <w:rtl/>
              </w:rPr>
              <w:t>يومي</w:t>
            </w:r>
            <w:r>
              <w:rPr>
                <w:rFonts w:cs="Times New Roman"/>
                <w:sz w:val="18"/>
                <w:rtl/>
              </w:rPr>
              <w:t xml:space="preserve"> عمل</w:t>
            </w:r>
            <w:r>
              <w:rPr>
                <w:sz w:val="18"/>
                <w:rtl/>
              </w:rPr>
              <w:t>]</w:t>
            </w:r>
          </w:p>
        </w:tc>
      </w:tr>
    </w:tbl>
    <w:p w:rsidR="004B456F" w:rsidRDefault="004B456F" w:rsidP="00DD0B97">
      <w:pPr>
        <w:spacing w:after="0"/>
        <w:jc w:val="left"/>
        <w:rPr>
          <w:rFonts w:hint="eastAsia"/>
        </w:rPr>
      </w:pPr>
    </w:p>
    <w:p w:rsidR="004B456F" w:rsidRDefault="009813CB" w:rsidP="00DD0B97">
      <w:pPr>
        <w:numPr>
          <w:ilvl w:val="0"/>
          <w:numId w:val="1"/>
        </w:numPr>
        <w:jc w:val="left"/>
        <w:rPr>
          <w:rFonts w:hint="eastAsia"/>
        </w:rPr>
      </w:pPr>
      <w:r>
        <w:rPr>
          <w:rFonts w:cs="Times New Roman"/>
          <w:rtl/>
        </w:rPr>
        <w:t>إذا وافق موعد الصرف عطلة أو تعطلًا مصرفيًا، تحدد المنشأة المعالجة بما يضمن الالتزام بالموعد النظامي والتعاقدي</w:t>
      </w:r>
      <w:r>
        <w:rPr>
          <w:rtl/>
        </w:rPr>
        <w:t>.</w:t>
      </w:r>
    </w:p>
    <w:p w:rsidR="004B456F" w:rsidRDefault="009813CB" w:rsidP="00DD0B97">
      <w:pPr>
        <w:numPr>
          <w:ilvl w:val="0"/>
          <w:numId w:val="1"/>
        </w:numPr>
        <w:jc w:val="left"/>
        <w:rPr>
          <w:rFonts w:hint="eastAsia"/>
        </w:rPr>
      </w:pPr>
      <w:r>
        <w:rPr>
          <w:rFonts w:cs="Times New Roman"/>
          <w:rtl/>
        </w:rPr>
        <w:t>يصدر لكل موظف بيان راتب يوضح عناصر الاستحقاق والاستقطاع والفترة وصافي المبلغ دون كشف بيانات الآخرين</w:t>
      </w:r>
      <w:r>
        <w:rPr>
          <w:rtl/>
        </w:rPr>
        <w:t>.</w:t>
      </w:r>
    </w:p>
    <w:p w:rsidR="004B456F" w:rsidRDefault="009813CB" w:rsidP="00DD0B97">
      <w:pPr>
        <w:pStyle w:val="1"/>
        <w:jc w:val="left"/>
      </w:pPr>
      <w:r>
        <w:rPr>
          <w:rFonts w:ascii="DejaVu Sans" w:hAnsi="DejaVu Sans" w:cs="DejaVu Sans"/>
          <w:rtl/>
        </w:rPr>
        <w:t xml:space="preserve">19. </w:t>
      </w:r>
      <w:r>
        <w:rPr>
          <w:rFonts w:ascii="DejaVu Sans" w:hAnsi="DejaVu Sans" w:cs="Times New Roman"/>
          <w:rtl/>
        </w:rPr>
        <w:t>حماية الأجور وتطابق العقد</w:t>
      </w:r>
    </w:p>
    <w:p w:rsidR="004B456F" w:rsidRDefault="009813CB" w:rsidP="00DD0B97">
      <w:pPr>
        <w:numPr>
          <w:ilvl w:val="0"/>
          <w:numId w:val="1"/>
        </w:numPr>
        <w:jc w:val="left"/>
        <w:rPr>
          <w:rFonts w:hint="eastAsia"/>
        </w:rPr>
      </w:pPr>
      <w:r>
        <w:rPr>
          <w:rFonts w:cs="Times New Roman"/>
          <w:rtl/>
        </w:rPr>
        <w:t>تدفع ا</w:t>
      </w:r>
      <w:r>
        <w:rPr>
          <w:rFonts w:cs="Times New Roman"/>
          <w:rtl/>
        </w:rPr>
        <w:t xml:space="preserve">لأجور إلى الحساب المعتمد باسم الموظف وتوثق عبر القنوات المطلوبة، وتلتزم المنشأة ببرنامج حماية الأجور ومنصة </w:t>
      </w:r>
      <w:r>
        <w:rPr>
          <w:rtl/>
        </w:rPr>
        <w:t>[</w:t>
      </w:r>
      <w:r>
        <w:rPr>
          <w:rFonts w:cs="Times New Roman"/>
          <w:rtl/>
        </w:rPr>
        <w:t>مدد</w:t>
      </w:r>
      <w:r>
        <w:rPr>
          <w:rtl/>
        </w:rPr>
        <w:t xml:space="preserve">] </w:t>
      </w:r>
      <w:r>
        <w:rPr>
          <w:rFonts w:cs="Times New Roman"/>
          <w:rtl/>
        </w:rPr>
        <w:t>متى خضعت لهما</w:t>
      </w:r>
      <w:r>
        <w:rPr>
          <w:rtl/>
        </w:rPr>
        <w:t>.</w:t>
      </w:r>
    </w:p>
    <w:p w:rsidR="004B456F" w:rsidRDefault="009813CB" w:rsidP="00DD0B97">
      <w:pPr>
        <w:numPr>
          <w:ilvl w:val="0"/>
          <w:numId w:val="1"/>
        </w:numPr>
        <w:jc w:val="left"/>
        <w:rPr>
          <w:rFonts w:hint="eastAsia"/>
        </w:rPr>
      </w:pPr>
      <w:r>
        <w:rPr>
          <w:rFonts w:cs="Times New Roman"/>
          <w:rtl/>
        </w:rPr>
        <w:t>تطابق بيانات الأجر في العقد الموثق ونظام الموارد البشرية ومسير الرواتب وملف البنك، وتفسر الفروقات بأسباب صحيحة ومؤيدة</w:t>
      </w:r>
      <w:r>
        <w:rPr>
          <w:rtl/>
        </w:rPr>
        <w:t>.</w:t>
      </w:r>
    </w:p>
    <w:p w:rsidR="004B456F" w:rsidRDefault="009813CB" w:rsidP="00DD0B97">
      <w:pPr>
        <w:numPr>
          <w:ilvl w:val="0"/>
          <w:numId w:val="1"/>
        </w:numPr>
        <w:jc w:val="left"/>
        <w:rPr>
          <w:rFonts w:hint="eastAsia"/>
        </w:rPr>
      </w:pPr>
      <w:r>
        <w:rPr>
          <w:rFonts w:cs="Times New Roman"/>
          <w:rtl/>
        </w:rPr>
        <w:t>ترفع ملفا</w:t>
      </w:r>
      <w:r>
        <w:rPr>
          <w:rFonts w:cs="Times New Roman"/>
          <w:rtl/>
        </w:rPr>
        <w:t>ت حماية الأجور ضمن المدة النظامية السارية؛ ولا تعتمد هذه السياسة مدة ثابتة إذا كانت المنصة أو القرارات تحدثها</w:t>
      </w:r>
      <w:r>
        <w:rPr>
          <w:rtl/>
        </w:rPr>
        <w:t>.</w:t>
      </w:r>
    </w:p>
    <w:p w:rsidR="004B456F" w:rsidRDefault="009813CB" w:rsidP="00DD0B97">
      <w:pPr>
        <w:numPr>
          <w:ilvl w:val="0"/>
          <w:numId w:val="1"/>
        </w:numPr>
        <w:jc w:val="left"/>
        <w:rPr>
          <w:rFonts w:hint="eastAsia"/>
        </w:rPr>
      </w:pPr>
      <w:r>
        <w:rPr>
          <w:rFonts w:cs="Times New Roman"/>
          <w:rtl/>
        </w:rPr>
        <w:t>يعالج رفض التحويل أو الحساب المغلق أو الخطأ البنكي فورًا، ولا يعد إعداد الملف وحده إثباتًا لوصول الأجر</w:t>
      </w:r>
      <w:r>
        <w:rPr>
          <w:rtl/>
        </w:rPr>
        <w:t>.</w:t>
      </w:r>
    </w:p>
    <w:p w:rsidR="004B456F" w:rsidRDefault="009813CB" w:rsidP="00DD0B97">
      <w:pPr>
        <w:numPr>
          <w:ilvl w:val="0"/>
          <w:numId w:val="1"/>
        </w:numPr>
        <w:jc w:val="left"/>
        <w:rPr>
          <w:rFonts w:hint="eastAsia"/>
        </w:rPr>
      </w:pPr>
      <w:r>
        <w:rPr>
          <w:rFonts w:cs="Times New Roman"/>
          <w:rtl/>
        </w:rPr>
        <w:t>لا تستخدم مسميات أو تحويلات جانبية لإخفاء</w:t>
      </w:r>
      <w:r>
        <w:rPr>
          <w:rFonts w:cs="Times New Roman"/>
          <w:rtl/>
        </w:rPr>
        <w:t xml:space="preserve"> أجر أو تجزئته على نحو يخل بالتوثيق أو الاشتراكات أو حقوق الموظف</w:t>
      </w:r>
      <w:r>
        <w:rPr>
          <w:rtl/>
        </w:rPr>
        <w:t>.</w:t>
      </w:r>
    </w:p>
    <w:p w:rsidR="004B456F" w:rsidRDefault="009813CB" w:rsidP="00DD0B97">
      <w:pPr>
        <w:pStyle w:val="1"/>
        <w:jc w:val="left"/>
      </w:pPr>
      <w:r>
        <w:rPr>
          <w:rFonts w:ascii="DejaVu Sans" w:hAnsi="DejaVu Sans" w:cs="DejaVu Sans"/>
          <w:rtl/>
        </w:rPr>
        <w:t xml:space="preserve">20. </w:t>
      </w:r>
      <w:r>
        <w:rPr>
          <w:rFonts w:ascii="DejaVu Sans" w:hAnsi="DejaVu Sans" w:cs="Times New Roman"/>
          <w:rtl/>
        </w:rPr>
        <w:t>الاستقطاعات والحسومات</w:t>
      </w:r>
    </w:p>
    <w:p w:rsidR="004B456F" w:rsidRDefault="009813CB" w:rsidP="00DD0B97">
      <w:pPr>
        <w:numPr>
          <w:ilvl w:val="0"/>
          <w:numId w:val="1"/>
        </w:numPr>
        <w:jc w:val="left"/>
        <w:rPr>
          <w:rFonts w:hint="eastAsia"/>
        </w:rPr>
      </w:pPr>
      <w:r>
        <w:rPr>
          <w:rFonts w:cs="Times New Roman"/>
          <w:rtl/>
        </w:rPr>
        <w:t>لا يحسم من أجر الموظف إلا في الحالات وبالنسب والإجراءات التي يجيزها النظام، أو بموافقته الكتابية حيث تصح وتلزم</w:t>
      </w:r>
      <w:r>
        <w:rPr>
          <w:rtl/>
        </w:rPr>
        <w:t>.</w:t>
      </w:r>
    </w:p>
    <w:p w:rsidR="004B456F" w:rsidRDefault="009813CB" w:rsidP="00DD0B97">
      <w:pPr>
        <w:numPr>
          <w:ilvl w:val="0"/>
          <w:numId w:val="1"/>
        </w:numPr>
        <w:jc w:val="left"/>
        <w:rPr>
          <w:rFonts w:hint="eastAsia"/>
        </w:rPr>
      </w:pPr>
      <w:r>
        <w:rPr>
          <w:rFonts w:cs="Times New Roman"/>
          <w:rtl/>
        </w:rPr>
        <w:t xml:space="preserve">تشمل الاستقطاعات النظامية </w:t>
      </w:r>
      <w:r>
        <w:rPr>
          <w:rtl/>
        </w:rPr>
        <w:t>-</w:t>
      </w:r>
      <w:r>
        <w:rPr>
          <w:rFonts w:cs="Times New Roman"/>
          <w:rtl/>
        </w:rPr>
        <w:t>بحسب الحالة</w:t>
      </w:r>
      <w:r>
        <w:rPr>
          <w:rtl/>
        </w:rPr>
        <w:t xml:space="preserve">- </w:t>
      </w:r>
      <w:r>
        <w:rPr>
          <w:rFonts w:cs="Times New Roman"/>
          <w:rtl/>
        </w:rPr>
        <w:t xml:space="preserve">اشتراكات </w:t>
      </w:r>
      <w:r>
        <w:rPr>
          <w:rFonts w:cs="Times New Roman"/>
          <w:rtl/>
        </w:rPr>
        <w:t>التأمينات، واسترداد القروض والسلف، والغرامات أو التلفيات المقررة، وتنفيذ الأحكام، والغياب غير المدفوع بعد التحقق</w:t>
      </w:r>
      <w:r>
        <w:rPr>
          <w:rtl/>
        </w:rPr>
        <w:t>.</w:t>
      </w:r>
    </w:p>
    <w:p w:rsidR="004B456F" w:rsidRDefault="009813CB" w:rsidP="00DD0B97">
      <w:pPr>
        <w:numPr>
          <w:ilvl w:val="0"/>
          <w:numId w:val="1"/>
        </w:numPr>
        <w:jc w:val="left"/>
        <w:rPr>
          <w:rFonts w:hint="eastAsia"/>
        </w:rPr>
      </w:pPr>
      <w:r>
        <w:rPr>
          <w:rFonts w:cs="Times New Roman"/>
          <w:rtl/>
        </w:rPr>
        <w:t>لا تستخدم موافقة عامة في العقد لتبرير حسم غير محدد أو غير متناسب، ويبين سبب الحسم ومبلغه وفترته في بيان الراتب</w:t>
      </w:r>
      <w:r>
        <w:rPr>
          <w:rtl/>
        </w:rPr>
        <w:t>.</w:t>
      </w:r>
    </w:p>
    <w:p w:rsidR="004B456F" w:rsidRDefault="009813CB" w:rsidP="00DD0B97">
      <w:pPr>
        <w:numPr>
          <w:ilvl w:val="0"/>
          <w:numId w:val="1"/>
        </w:numPr>
        <w:jc w:val="left"/>
        <w:rPr>
          <w:rFonts w:hint="eastAsia"/>
        </w:rPr>
      </w:pPr>
      <w:r>
        <w:rPr>
          <w:rFonts w:cs="Times New Roman"/>
          <w:rtl/>
        </w:rPr>
        <w:t>تراجع الحدود الشهرية وترتيب ال</w:t>
      </w:r>
      <w:r>
        <w:rPr>
          <w:rFonts w:cs="Times New Roman"/>
          <w:rtl/>
        </w:rPr>
        <w:t>أولوية قبل التنفيذ، ويمنع تكرار استرداد المبلغ أو الجمع بين حسم مالي وجزاء غير جائز عن الواقعة نفسها</w:t>
      </w:r>
      <w:r>
        <w:rPr>
          <w:rtl/>
        </w:rPr>
        <w:t>.</w:t>
      </w:r>
    </w:p>
    <w:p w:rsidR="004B456F" w:rsidRDefault="009813CB" w:rsidP="00DD0B97">
      <w:pPr>
        <w:numPr>
          <w:ilvl w:val="0"/>
          <w:numId w:val="1"/>
        </w:numPr>
        <w:jc w:val="left"/>
        <w:rPr>
          <w:rFonts w:hint="eastAsia"/>
        </w:rPr>
      </w:pPr>
      <w:r>
        <w:rPr>
          <w:rFonts w:cs="Times New Roman"/>
          <w:rtl/>
        </w:rPr>
        <w:t>يصحح أي حسم خاطئ في أقرب دورة دفع، ويعجل التصحيح إذا سبب ضررًا جوهريًا للموظف</w:t>
      </w:r>
      <w:r>
        <w:rPr>
          <w:rtl/>
        </w:rPr>
        <w:t>.</w:t>
      </w:r>
    </w:p>
    <w:p w:rsidR="004B456F" w:rsidRDefault="009813CB" w:rsidP="00DD0B97">
      <w:pPr>
        <w:pStyle w:val="1"/>
        <w:jc w:val="left"/>
      </w:pPr>
      <w:r>
        <w:rPr>
          <w:rFonts w:ascii="DejaVu Sans" w:hAnsi="DejaVu Sans" w:cs="DejaVu Sans"/>
          <w:rtl/>
        </w:rPr>
        <w:lastRenderedPageBreak/>
        <w:t xml:space="preserve">21. </w:t>
      </w:r>
      <w:r>
        <w:rPr>
          <w:rFonts w:ascii="DejaVu Sans" w:hAnsi="DejaVu Sans" w:cs="Times New Roman"/>
          <w:rtl/>
        </w:rPr>
        <w:t>السلف والقروض والمبالغ المستردة</w:t>
      </w:r>
    </w:p>
    <w:p w:rsidR="004B456F" w:rsidRDefault="009813CB" w:rsidP="00DD0B97">
      <w:pPr>
        <w:numPr>
          <w:ilvl w:val="0"/>
          <w:numId w:val="1"/>
        </w:numPr>
        <w:jc w:val="left"/>
        <w:rPr>
          <w:rFonts w:hint="eastAsia"/>
        </w:rPr>
      </w:pPr>
      <w:r>
        <w:rPr>
          <w:rFonts w:cs="Times New Roman"/>
          <w:rtl/>
        </w:rPr>
        <w:t xml:space="preserve">تمنح السلفة أو القرض وفق سياسة واعتماد </w:t>
      </w:r>
      <w:r>
        <w:rPr>
          <w:rFonts w:cs="Times New Roman"/>
          <w:rtl/>
        </w:rPr>
        <w:t>مكتوب يحدد المبلغ والجدول والحدود وحالة انتهاء الخدمة، دون فوائد أو شروط غير مشروعة</w:t>
      </w:r>
      <w:r>
        <w:rPr>
          <w:rtl/>
        </w:rPr>
        <w:t>.</w:t>
      </w:r>
    </w:p>
    <w:p w:rsidR="004B456F" w:rsidRDefault="009813CB" w:rsidP="00DD0B97">
      <w:pPr>
        <w:numPr>
          <w:ilvl w:val="0"/>
          <w:numId w:val="1"/>
        </w:numPr>
        <w:jc w:val="left"/>
        <w:rPr>
          <w:rFonts w:hint="eastAsia"/>
        </w:rPr>
      </w:pPr>
      <w:r>
        <w:rPr>
          <w:rFonts w:cs="Times New Roman"/>
          <w:rtl/>
        </w:rPr>
        <w:t>لا يتجاوز الاستقطاع الحد النظامي المطبق، ويعاد جدولة الرصيد عند الحاجة بموافقة وصلاحية مناسبة</w:t>
      </w:r>
      <w:r>
        <w:rPr>
          <w:rtl/>
        </w:rPr>
        <w:t>.</w:t>
      </w:r>
    </w:p>
    <w:p w:rsidR="004B456F" w:rsidRDefault="009813CB" w:rsidP="00DD0B97">
      <w:pPr>
        <w:numPr>
          <w:ilvl w:val="0"/>
          <w:numId w:val="1"/>
        </w:numPr>
        <w:jc w:val="left"/>
        <w:rPr>
          <w:rFonts w:hint="eastAsia"/>
        </w:rPr>
      </w:pPr>
      <w:r>
        <w:rPr>
          <w:rFonts w:cs="Times New Roman"/>
          <w:rtl/>
        </w:rPr>
        <w:t>لا يخصم رصيد مستحق للمنشأة من التسوية النهائية إلا ضمن الحدود والأساس النظام</w:t>
      </w:r>
      <w:r>
        <w:rPr>
          <w:rFonts w:cs="Times New Roman"/>
          <w:rtl/>
        </w:rPr>
        <w:t>ي وبعد بيان واضح للموظف</w:t>
      </w:r>
      <w:r>
        <w:rPr>
          <w:rtl/>
        </w:rPr>
        <w:t>.</w:t>
      </w:r>
    </w:p>
    <w:p w:rsidR="004B456F" w:rsidRDefault="009813CB" w:rsidP="00DD0B97">
      <w:pPr>
        <w:numPr>
          <w:ilvl w:val="0"/>
          <w:numId w:val="1"/>
        </w:numPr>
        <w:jc w:val="left"/>
        <w:rPr>
          <w:rFonts w:hint="eastAsia"/>
        </w:rPr>
      </w:pPr>
      <w:r>
        <w:rPr>
          <w:rFonts w:cs="Times New Roman"/>
          <w:rtl/>
        </w:rPr>
        <w:t>تمنع السلف غير المسجلة أو المدفوعات النقدية غير الموثقة، وتطابق الأرصدة دوريًا بين الرواتب والمالية</w:t>
      </w:r>
      <w:r>
        <w:rPr>
          <w:rtl/>
        </w:rPr>
        <w:t>.</w:t>
      </w:r>
    </w:p>
    <w:p w:rsidR="004B456F" w:rsidRDefault="009813CB" w:rsidP="00DD0B97">
      <w:pPr>
        <w:pStyle w:val="1"/>
        <w:jc w:val="left"/>
      </w:pPr>
      <w:r>
        <w:rPr>
          <w:rFonts w:ascii="DejaVu Sans" w:hAnsi="DejaVu Sans" w:cs="DejaVu Sans"/>
          <w:rtl/>
        </w:rPr>
        <w:t xml:space="preserve">22. </w:t>
      </w:r>
      <w:r>
        <w:rPr>
          <w:rFonts w:ascii="DejaVu Sans" w:hAnsi="DejaVu Sans" w:cs="Times New Roman"/>
          <w:rtl/>
        </w:rPr>
        <w:t>الإجازات والغياب وأثرهما</w:t>
      </w:r>
    </w:p>
    <w:p w:rsidR="004B456F" w:rsidRDefault="009813CB" w:rsidP="00DD0B97">
      <w:pPr>
        <w:numPr>
          <w:ilvl w:val="0"/>
          <w:numId w:val="1"/>
        </w:numPr>
        <w:jc w:val="left"/>
        <w:rPr>
          <w:rFonts w:hint="eastAsia"/>
        </w:rPr>
      </w:pPr>
      <w:r>
        <w:rPr>
          <w:rFonts w:cs="Times New Roman"/>
          <w:rtl/>
        </w:rPr>
        <w:t>يدفع أجر الإجازة السنوية والمرضية والرسمية وغيرها وفق النظام والسياسة والعقد، ويعالج توقيت الدفع بحسب</w:t>
      </w:r>
      <w:r>
        <w:rPr>
          <w:rFonts w:cs="Times New Roman"/>
          <w:rtl/>
        </w:rPr>
        <w:t xml:space="preserve"> النوع والمتطلبات السارية</w:t>
      </w:r>
      <w:r>
        <w:rPr>
          <w:rtl/>
        </w:rPr>
        <w:t>.</w:t>
      </w:r>
    </w:p>
    <w:p w:rsidR="004B456F" w:rsidRDefault="009813CB" w:rsidP="00DD0B97">
      <w:pPr>
        <w:numPr>
          <w:ilvl w:val="0"/>
          <w:numId w:val="1"/>
        </w:numPr>
        <w:jc w:val="left"/>
        <w:rPr>
          <w:rFonts w:hint="eastAsia"/>
        </w:rPr>
      </w:pPr>
      <w:r>
        <w:rPr>
          <w:rFonts w:cs="Times New Roman"/>
          <w:rtl/>
        </w:rPr>
        <w:t>يحسب الغياب أو الاستئذان غير المدفوع وفق الوقت الفعلي والأساس المعتمد بعد التحقق، ويميز عن الغرامة التأديبية</w:t>
      </w:r>
      <w:r>
        <w:rPr>
          <w:rtl/>
        </w:rPr>
        <w:t>.</w:t>
      </w:r>
    </w:p>
    <w:p w:rsidR="004B456F" w:rsidRDefault="009813CB" w:rsidP="00DD0B97">
      <w:pPr>
        <w:numPr>
          <w:ilvl w:val="0"/>
          <w:numId w:val="1"/>
        </w:numPr>
        <w:jc w:val="left"/>
        <w:rPr>
          <w:rFonts w:hint="eastAsia"/>
        </w:rPr>
      </w:pPr>
      <w:r>
        <w:rPr>
          <w:rFonts w:cs="Times New Roman"/>
          <w:rtl/>
        </w:rPr>
        <w:t>لا تؤثر إجازة نظامية في أجر أو مكافأة على نحو تمييزي؛ وتطبق قواعد التناسب على الحوافز إذا كانت معلنة ومتصلة بفترة العمل</w:t>
      </w:r>
      <w:r>
        <w:rPr>
          <w:rFonts w:cs="Times New Roman"/>
          <w:rtl/>
        </w:rPr>
        <w:t xml:space="preserve"> الفعلي</w:t>
      </w:r>
      <w:r>
        <w:rPr>
          <w:rtl/>
        </w:rPr>
        <w:t>.</w:t>
      </w:r>
    </w:p>
    <w:p w:rsidR="004B456F" w:rsidRDefault="009813CB" w:rsidP="00DD0B97">
      <w:pPr>
        <w:numPr>
          <w:ilvl w:val="0"/>
          <w:numId w:val="1"/>
        </w:numPr>
        <w:jc w:val="left"/>
        <w:rPr>
          <w:rFonts w:hint="eastAsia"/>
        </w:rPr>
      </w:pPr>
      <w:r>
        <w:rPr>
          <w:rFonts w:cs="Times New Roman"/>
          <w:rtl/>
        </w:rPr>
        <w:t>تطابق بيانات الإجازة والحضور قبل المسير، ولا يتحمل الموظف تأخر اعتماد إداري أو خلل نظامي موثق</w:t>
      </w:r>
      <w:r>
        <w:rPr>
          <w:rtl/>
        </w:rPr>
        <w:t>.</w:t>
      </w:r>
    </w:p>
    <w:p w:rsidR="004B456F" w:rsidRDefault="009813CB" w:rsidP="00DD0B97">
      <w:pPr>
        <w:pStyle w:val="1"/>
        <w:jc w:val="left"/>
      </w:pPr>
      <w:r>
        <w:rPr>
          <w:rFonts w:ascii="DejaVu Sans" w:hAnsi="DejaVu Sans" w:cs="DejaVu Sans"/>
          <w:rtl/>
        </w:rPr>
        <w:t xml:space="preserve">23. </w:t>
      </w:r>
      <w:r>
        <w:rPr>
          <w:rFonts w:ascii="DejaVu Sans" w:hAnsi="DejaVu Sans" w:cs="Times New Roman"/>
          <w:rtl/>
        </w:rPr>
        <w:t>التأمينات والالتزامات النظامية</w:t>
      </w:r>
    </w:p>
    <w:p w:rsidR="004B456F" w:rsidRDefault="009813CB" w:rsidP="00DD0B97">
      <w:pPr>
        <w:numPr>
          <w:ilvl w:val="0"/>
          <w:numId w:val="1"/>
        </w:numPr>
        <w:jc w:val="left"/>
        <w:rPr>
          <w:rFonts w:hint="eastAsia"/>
        </w:rPr>
      </w:pPr>
      <w:r>
        <w:rPr>
          <w:rFonts w:cs="Times New Roman"/>
          <w:rtl/>
        </w:rPr>
        <w:t>تسجل عناصر الأجر الخاضعة للاشتراك وفق نظام التأمينات وتعريفاتها وقراراتها السارية، ولا يعتمد المسمى المحاسبي وحده لتح</w:t>
      </w:r>
      <w:r>
        <w:rPr>
          <w:rFonts w:cs="Times New Roman"/>
          <w:rtl/>
        </w:rPr>
        <w:t>ديد الخضوع</w:t>
      </w:r>
      <w:r>
        <w:rPr>
          <w:rtl/>
        </w:rPr>
        <w:t>.</w:t>
      </w:r>
    </w:p>
    <w:p w:rsidR="004B456F" w:rsidRDefault="009813CB" w:rsidP="00DD0B97">
      <w:pPr>
        <w:numPr>
          <w:ilvl w:val="0"/>
          <w:numId w:val="1"/>
        </w:numPr>
        <w:jc w:val="left"/>
        <w:rPr>
          <w:rFonts w:hint="eastAsia"/>
        </w:rPr>
      </w:pPr>
      <w:r>
        <w:rPr>
          <w:rFonts w:cs="Times New Roman"/>
          <w:rtl/>
        </w:rPr>
        <w:t xml:space="preserve">تشمل العناصر الخاضعة </w:t>
      </w:r>
      <w:r>
        <w:rPr>
          <w:rtl/>
        </w:rPr>
        <w:t>-</w:t>
      </w:r>
      <w:r>
        <w:rPr>
          <w:rFonts w:cs="Times New Roman"/>
          <w:rtl/>
        </w:rPr>
        <w:t>بحسب النظام والفئة</w:t>
      </w:r>
      <w:r>
        <w:rPr>
          <w:rtl/>
        </w:rPr>
        <w:t xml:space="preserve">- </w:t>
      </w:r>
      <w:r>
        <w:rPr>
          <w:rFonts w:cs="Times New Roman"/>
          <w:rtl/>
        </w:rPr>
        <w:t>الأجر الأساسي وما في حكمه وبدل السكن النقدي أو العيني وفق قواعد التقدير، وأي عناصر أخرى مقررة</w:t>
      </w:r>
      <w:r>
        <w:rPr>
          <w:rtl/>
        </w:rPr>
        <w:t>.</w:t>
      </w:r>
    </w:p>
    <w:p w:rsidR="004B456F" w:rsidRDefault="009813CB" w:rsidP="00DD0B97">
      <w:pPr>
        <w:numPr>
          <w:ilvl w:val="0"/>
          <w:numId w:val="1"/>
        </w:numPr>
        <w:jc w:val="left"/>
        <w:rPr>
          <w:rFonts w:hint="eastAsia"/>
        </w:rPr>
      </w:pPr>
      <w:r>
        <w:rPr>
          <w:rFonts w:cs="Times New Roman"/>
          <w:rtl/>
        </w:rPr>
        <w:t>تحدث الأجور المسجلة عند التغيير وفق المواعيد والإجراءات، وتطابق مع العقد ومسير الرواتب وتصحح الفروقات فور ا</w:t>
      </w:r>
      <w:r>
        <w:rPr>
          <w:rFonts w:cs="Times New Roman"/>
          <w:rtl/>
        </w:rPr>
        <w:t>كتشافها</w:t>
      </w:r>
      <w:r>
        <w:rPr>
          <w:rtl/>
        </w:rPr>
        <w:t>.</w:t>
      </w:r>
    </w:p>
    <w:p w:rsidR="004B456F" w:rsidRDefault="009813CB" w:rsidP="00DD0B97">
      <w:pPr>
        <w:numPr>
          <w:ilvl w:val="0"/>
          <w:numId w:val="1"/>
        </w:numPr>
        <w:jc w:val="left"/>
        <w:rPr>
          <w:rFonts w:hint="eastAsia"/>
        </w:rPr>
      </w:pPr>
      <w:r>
        <w:rPr>
          <w:rFonts w:cs="Times New Roman"/>
          <w:rtl/>
        </w:rPr>
        <w:t>تتحمل المنشأة والموظف نسب الاشتراك أو الاستقطاعات وفق النظام، ولا تحمل حصة المنشأة للموظف بالمخالفة للأحكام السارية</w:t>
      </w:r>
      <w:r>
        <w:rPr>
          <w:rtl/>
        </w:rPr>
        <w:t>.</w:t>
      </w:r>
    </w:p>
    <w:p w:rsidR="004B456F" w:rsidRDefault="009813CB" w:rsidP="00DD0B97">
      <w:pPr>
        <w:pStyle w:val="1"/>
        <w:jc w:val="left"/>
      </w:pPr>
      <w:r>
        <w:rPr>
          <w:rFonts w:ascii="DejaVu Sans" w:hAnsi="DejaVu Sans" w:cs="DejaVu Sans"/>
          <w:rtl/>
        </w:rPr>
        <w:t xml:space="preserve">24. </w:t>
      </w:r>
      <w:r>
        <w:rPr>
          <w:rFonts w:ascii="DejaVu Sans" w:hAnsi="DejaVu Sans" w:cs="Times New Roman"/>
          <w:rtl/>
        </w:rPr>
        <w:t>أخطاء الرواتب والتصحيح</w:t>
      </w:r>
    </w:p>
    <w:tbl>
      <w:tblPr>
        <w:tblStyle w:val="afa"/>
        <w:tblW w:w="9360" w:type="dxa"/>
        <w:jc w:val="center"/>
        <w:tblLayout w:type="fixed"/>
        <w:tblLook w:val="04A0" w:firstRow="1" w:lastRow="0" w:firstColumn="1" w:lastColumn="0" w:noHBand="0" w:noVBand="1"/>
      </w:tblPr>
      <w:tblGrid>
        <w:gridCol w:w="2600"/>
        <w:gridCol w:w="6760"/>
      </w:tblGrid>
      <w:tr w:rsidR="004B456F">
        <w:trPr>
          <w:tblHeader/>
          <w:jc w:val="center"/>
        </w:trPr>
        <w:tc>
          <w:tcPr>
            <w:tcW w:w="26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الحالة</w:t>
            </w:r>
          </w:p>
        </w:tc>
        <w:tc>
          <w:tcPr>
            <w:tcW w:w="67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المعالجة</w:t>
            </w:r>
          </w:p>
        </w:tc>
      </w:tr>
      <w:tr w:rsidR="004B456F">
        <w:trPr>
          <w:jc w:val="center"/>
        </w:trPr>
        <w:tc>
          <w:tcPr>
            <w:tcW w:w="2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نقص في الأجر</w:t>
            </w:r>
          </w:p>
        </w:tc>
        <w:tc>
          <w:tcPr>
            <w:tcW w:w="6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التحقق والدفع في أقرب وقت أو مسير تصحيحي، مع بيان السبب ومنع تكراره</w:t>
            </w:r>
            <w:r>
              <w:rPr>
                <w:sz w:val="18"/>
                <w:rtl/>
              </w:rPr>
              <w:t>.</w:t>
            </w:r>
          </w:p>
        </w:tc>
      </w:tr>
      <w:tr w:rsidR="004B456F">
        <w:trPr>
          <w:jc w:val="center"/>
        </w:trPr>
        <w:tc>
          <w:tcPr>
            <w:tcW w:w="2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زيادة غير مستحقة</w:t>
            </w:r>
          </w:p>
        </w:tc>
        <w:tc>
          <w:tcPr>
            <w:tcW w:w="6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إشعار الموظف وتحديد المبلغ وخطة استرداد نظامية تراعي الحدود، دون حسم مفاجئ كامل</w:t>
            </w:r>
            <w:r>
              <w:rPr>
                <w:sz w:val="18"/>
                <w:rtl/>
              </w:rPr>
              <w:t>.</w:t>
            </w:r>
          </w:p>
        </w:tc>
      </w:tr>
      <w:tr w:rsidR="004B456F">
        <w:trPr>
          <w:jc w:val="center"/>
        </w:trPr>
        <w:tc>
          <w:tcPr>
            <w:tcW w:w="2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تحويل لشخص أو حساب خاطئ</w:t>
            </w:r>
          </w:p>
        </w:tc>
        <w:tc>
          <w:tcPr>
            <w:tcW w:w="6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إيقاف أو استرداد التحويل والتصعيد للبنك وحماية البيانات وإعادة الحق للمستفيد</w:t>
            </w:r>
            <w:r>
              <w:rPr>
                <w:sz w:val="18"/>
                <w:rtl/>
              </w:rPr>
              <w:t>.</w:t>
            </w:r>
          </w:p>
        </w:tc>
      </w:tr>
      <w:tr w:rsidR="004B456F">
        <w:trPr>
          <w:jc w:val="center"/>
        </w:trPr>
        <w:tc>
          <w:tcPr>
            <w:tcW w:w="26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خطأ متكرر أو جماعي</w:t>
            </w:r>
          </w:p>
        </w:tc>
        <w:tc>
          <w:tcPr>
            <w:tcW w:w="67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تحليل السبب الجذري، وتدقيق مستقل، و</w:t>
            </w:r>
            <w:r>
              <w:rPr>
                <w:rFonts w:cs="Times New Roman"/>
                <w:sz w:val="18"/>
                <w:rtl/>
              </w:rPr>
              <w:t>إبلاغ الإدارة وخطة تصحيح موثقة</w:t>
            </w:r>
            <w:r>
              <w:rPr>
                <w:sz w:val="18"/>
                <w:rtl/>
              </w:rPr>
              <w:t>.</w:t>
            </w:r>
          </w:p>
        </w:tc>
      </w:tr>
    </w:tbl>
    <w:p w:rsidR="004B456F" w:rsidRDefault="004B456F" w:rsidP="00DD0B97">
      <w:pPr>
        <w:spacing w:after="0"/>
        <w:jc w:val="left"/>
        <w:rPr>
          <w:rFonts w:hint="eastAsia"/>
        </w:rPr>
      </w:pPr>
    </w:p>
    <w:p w:rsidR="004B456F" w:rsidRDefault="009813CB" w:rsidP="00DD0B97">
      <w:pPr>
        <w:numPr>
          <w:ilvl w:val="0"/>
          <w:numId w:val="1"/>
        </w:numPr>
        <w:jc w:val="left"/>
        <w:rPr>
          <w:rFonts w:hint="eastAsia"/>
        </w:rPr>
      </w:pPr>
      <w:r>
        <w:rPr>
          <w:rFonts w:cs="Times New Roman"/>
          <w:rtl/>
        </w:rPr>
        <w:t>لا يتنازل الموظف عن أجر ثابت بسبب خطأ المنشأة، ولا تعفي موافقته على خطة الاسترداد المنشأة من الالتزام بالحدود النظامية</w:t>
      </w:r>
      <w:r>
        <w:rPr>
          <w:rtl/>
        </w:rPr>
        <w:t>.</w:t>
      </w:r>
    </w:p>
    <w:p w:rsidR="004B456F" w:rsidRDefault="009813CB" w:rsidP="00DD0B97">
      <w:pPr>
        <w:numPr>
          <w:ilvl w:val="0"/>
          <w:numId w:val="1"/>
        </w:numPr>
        <w:jc w:val="left"/>
        <w:rPr>
          <w:rFonts w:hint="eastAsia"/>
        </w:rPr>
      </w:pPr>
      <w:r>
        <w:rPr>
          <w:rFonts w:cs="Times New Roman"/>
          <w:rtl/>
        </w:rPr>
        <w:t xml:space="preserve">توثق القيود التصحيحية في الفترة الأصلية أو أقرب فترة ممكنة بما يحافظ على أثر التدقيق والتقارير </w:t>
      </w:r>
      <w:r>
        <w:rPr>
          <w:rFonts w:cs="Times New Roman"/>
          <w:rtl/>
        </w:rPr>
        <w:t>النظامية</w:t>
      </w:r>
      <w:r>
        <w:rPr>
          <w:rtl/>
        </w:rPr>
        <w:t>.</w:t>
      </w:r>
    </w:p>
    <w:p w:rsidR="004B456F" w:rsidRDefault="009813CB" w:rsidP="00DD0B97">
      <w:pPr>
        <w:pStyle w:val="1"/>
        <w:jc w:val="left"/>
      </w:pPr>
      <w:r>
        <w:rPr>
          <w:rFonts w:ascii="DejaVu Sans" w:hAnsi="DejaVu Sans" w:cs="DejaVu Sans"/>
          <w:rtl/>
        </w:rPr>
        <w:lastRenderedPageBreak/>
        <w:t xml:space="preserve">25. </w:t>
      </w:r>
      <w:r>
        <w:rPr>
          <w:rFonts w:ascii="DejaVu Sans" w:hAnsi="DejaVu Sans" w:cs="Times New Roman"/>
          <w:rtl/>
        </w:rPr>
        <w:t>انتهاء العلاقة والتسوية النهائية</w:t>
      </w:r>
    </w:p>
    <w:p w:rsidR="004B456F" w:rsidRDefault="009813CB" w:rsidP="00DD0B97">
      <w:pPr>
        <w:numPr>
          <w:ilvl w:val="0"/>
          <w:numId w:val="1"/>
        </w:numPr>
        <w:jc w:val="left"/>
        <w:rPr>
          <w:rFonts w:hint="eastAsia"/>
        </w:rPr>
      </w:pPr>
      <w:r>
        <w:rPr>
          <w:rFonts w:cs="Times New Roman"/>
          <w:rtl/>
        </w:rPr>
        <w:t>تشمل التسوية</w:t>
      </w:r>
      <w:r>
        <w:rPr>
          <w:rtl/>
        </w:rPr>
        <w:t xml:space="preserve">: </w:t>
      </w:r>
      <w:r>
        <w:rPr>
          <w:rFonts w:cs="Times New Roman"/>
          <w:rtl/>
        </w:rPr>
        <w:t>الأجر حتى آخر يوم، ورصيد الإجازة المستحق، والعمل الإضافي أو العمولة المكتسبة، ومكافأة نهاية الخدمة والمبالغ الأخرى، ناقصًا الاستقطاعات النظامية</w:t>
      </w:r>
      <w:r>
        <w:rPr>
          <w:rtl/>
        </w:rPr>
        <w:t>.</w:t>
      </w:r>
    </w:p>
    <w:p w:rsidR="004B456F" w:rsidRDefault="009813CB" w:rsidP="00DD0B97">
      <w:pPr>
        <w:numPr>
          <w:ilvl w:val="0"/>
          <w:numId w:val="1"/>
        </w:numPr>
        <w:jc w:val="left"/>
        <w:rPr>
          <w:rFonts w:hint="eastAsia"/>
        </w:rPr>
      </w:pPr>
      <w:r>
        <w:rPr>
          <w:rFonts w:cs="Times New Roman"/>
          <w:rtl/>
        </w:rPr>
        <w:t>تدفع المستحقات خلال المدة النظامية؛ وبوجه عام خلال</w:t>
      </w:r>
      <w:r>
        <w:rPr>
          <w:rFonts w:cs="Times New Roman"/>
          <w:rtl/>
        </w:rPr>
        <w:t xml:space="preserve"> أسبوع من انتهاء العلاقة إذا كان الإنهاء من المنشأة، وخلال مدة لا تتجاوز أسبوعين إذا كان الإنهاء من الموظف</w:t>
      </w:r>
      <w:r>
        <w:rPr>
          <w:rtl/>
        </w:rPr>
        <w:t>.</w:t>
      </w:r>
    </w:p>
    <w:p w:rsidR="004B456F" w:rsidRDefault="009813CB" w:rsidP="00DD0B97">
      <w:pPr>
        <w:numPr>
          <w:ilvl w:val="0"/>
          <w:numId w:val="1"/>
        </w:numPr>
        <w:jc w:val="left"/>
        <w:rPr>
          <w:rFonts w:hint="eastAsia"/>
        </w:rPr>
      </w:pPr>
      <w:r>
        <w:rPr>
          <w:rFonts w:cs="Times New Roman"/>
          <w:rtl/>
        </w:rPr>
        <w:t>لا تؤخر كامل التسوية بسبب عهدة أو مطالبة متنازع عليها؛ يحجز أو يخصم فقط ما له أساس وحدود نظامية، ويدفع الجزء غير المتنازع عليه</w:t>
      </w:r>
      <w:r>
        <w:rPr>
          <w:rtl/>
        </w:rPr>
        <w:t>.</w:t>
      </w:r>
    </w:p>
    <w:p w:rsidR="004B456F" w:rsidRDefault="009813CB" w:rsidP="00DD0B97">
      <w:pPr>
        <w:numPr>
          <w:ilvl w:val="0"/>
          <w:numId w:val="1"/>
        </w:numPr>
        <w:jc w:val="left"/>
        <w:rPr>
          <w:rFonts w:hint="eastAsia"/>
        </w:rPr>
      </w:pPr>
      <w:r>
        <w:rPr>
          <w:rFonts w:cs="Times New Roman"/>
          <w:rtl/>
        </w:rPr>
        <w:t>يسلم الموظف بيانًا ت</w:t>
      </w:r>
      <w:r>
        <w:rPr>
          <w:rFonts w:cs="Times New Roman"/>
          <w:rtl/>
        </w:rPr>
        <w:t>فصيليًا بطريقة الحساب، ويصحح أي عنصر يظهر لاحقًا دون اشتراط توقيع مخالصة تسقط حقًا غير معلوم</w:t>
      </w:r>
      <w:r>
        <w:rPr>
          <w:rtl/>
        </w:rPr>
        <w:t>.</w:t>
      </w:r>
    </w:p>
    <w:p w:rsidR="004B456F" w:rsidRDefault="009813CB" w:rsidP="00DD0B97">
      <w:pPr>
        <w:pStyle w:val="1"/>
        <w:jc w:val="left"/>
      </w:pPr>
      <w:r>
        <w:rPr>
          <w:rFonts w:ascii="DejaVu Sans" w:hAnsi="DejaVu Sans" w:cs="DejaVu Sans"/>
          <w:rtl/>
        </w:rPr>
        <w:t xml:space="preserve">26. </w:t>
      </w:r>
      <w:r>
        <w:rPr>
          <w:rFonts w:ascii="DejaVu Sans" w:hAnsi="DejaVu Sans" w:cs="Times New Roman"/>
          <w:rtl/>
        </w:rPr>
        <w:t>استفسارات الرواتب والتظلمات</w:t>
      </w:r>
    </w:p>
    <w:tbl>
      <w:tblPr>
        <w:tblStyle w:val="afa"/>
        <w:tblW w:w="9360" w:type="dxa"/>
        <w:jc w:val="center"/>
        <w:tblLayout w:type="fixed"/>
        <w:tblLook w:val="04A0" w:firstRow="1" w:lastRow="0" w:firstColumn="1" w:lastColumn="0" w:noHBand="0" w:noVBand="1"/>
      </w:tblPr>
      <w:tblGrid>
        <w:gridCol w:w="1800"/>
        <w:gridCol w:w="5260"/>
        <w:gridCol w:w="2300"/>
      </w:tblGrid>
      <w:tr w:rsidR="004B456F">
        <w:trPr>
          <w:tblHeader/>
          <w:jc w:val="center"/>
        </w:trPr>
        <w:tc>
          <w:tcPr>
            <w:tcW w:w="18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الخطوة</w:t>
            </w:r>
          </w:p>
        </w:tc>
        <w:tc>
          <w:tcPr>
            <w:tcW w:w="52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الإجراء</w:t>
            </w:r>
          </w:p>
        </w:tc>
        <w:tc>
          <w:tcPr>
            <w:tcW w:w="23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المدة المقترحة</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1. </w:t>
            </w:r>
            <w:r>
              <w:rPr>
                <w:rFonts w:cs="Times New Roman"/>
                <w:sz w:val="18"/>
                <w:rtl/>
              </w:rPr>
              <w:t>تقديم الطلب</w:t>
            </w:r>
          </w:p>
        </w:tc>
        <w:tc>
          <w:tcPr>
            <w:tcW w:w="5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يرفع الموظف استفساره عبر </w:t>
            </w:r>
            <w:r>
              <w:rPr>
                <w:sz w:val="18"/>
                <w:rtl/>
              </w:rPr>
              <w:t>[</w:t>
            </w:r>
            <w:r>
              <w:rPr>
                <w:rFonts w:cs="Times New Roman"/>
                <w:sz w:val="18"/>
                <w:rtl/>
              </w:rPr>
              <w:t>القناة</w:t>
            </w:r>
            <w:r>
              <w:rPr>
                <w:sz w:val="18"/>
                <w:rtl/>
              </w:rPr>
              <w:t xml:space="preserve">] </w:t>
            </w:r>
            <w:r>
              <w:rPr>
                <w:rFonts w:cs="Times New Roman"/>
                <w:sz w:val="18"/>
                <w:rtl/>
              </w:rPr>
              <w:t>مع بيان الفترة والعنصر والدليل</w:t>
            </w:r>
            <w:r>
              <w:rPr>
                <w:sz w:val="18"/>
                <w:rtl/>
              </w:rPr>
              <w:t>.</w:t>
            </w:r>
          </w:p>
        </w:tc>
        <w:tc>
          <w:tcPr>
            <w:tcW w:w="2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خلال </w:t>
            </w:r>
            <w:r>
              <w:rPr>
                <w:sz w:val="18"/>
                <w:rtl/>
              </w:rPr>
              <w:t xml:space="preserve">[30] </w:t>
            </w:r>
            <w:r>
              <w:rPr>
                <w:rFonts w:cs="Times New Roman"/>
                <w:sz w:val="18"/>
                <w:rtl/>
              </w:rPr>
              <w:t>يومًا من</w:t>
            </w:r>
            <w:r>
              <w:rPr>
                <w:rFonts w:cs="Times New Roman"/>
                <w:sz w:val="18"/>
                <w:rtl/>
              </w:rPr>
              <w:t xml:space="preserve"> البيان</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2. </w:t>
            </w:r>
            <w:r>
              <w:rPr>
                <w:rFonts w:cs="Times New Roman"/>
                <w:sz w:val="18"/>
                <w:rtl/>
              </w:rPr>
              <w:t>المراجعة</w:t>
            </w:r>
          </w:p>
        </w:tc>
        <w:tc>
          <w:tcPr>
            <w:tcW w:w="5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تراجع الرواتب العقد والمسير والحضور والقرار والحساب</w:t>
            </w:r>
            <w:r>
              <w:rPr>
                <w:sz w:val="18"/>
                <w:rtl/>
              </w:rPr>
              <w:t>.</w:t>
            </w:r>
          </w:p>
        </w:tc>
        <w:tc>
          <w:tcPr>
            <w:tcW w:w="2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[3] </w:t>
            </w:r>
            <w:r>
              <w:rPr>
                <w:rFonts w:cs="Times New Roman"/>
                <w:sz w:val="18"/>
                <w:rtl/>
              </w:rPr>
              <w:t>أيام عمل</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3. </w:t>
            </w:r>
            <w:r>
              <w:rPr>
                <w:rFonts w:cs="Times New Roman"/>
                <w:sz w:val="18"/>
                <w:rtl/>
              </w:rPr>
              <w:t>القرار</w:t>
            </w:r>
          </w:p>
        </w:tc>
        <w:tc>
          <w:tcPr>
            <w:tcW w:w="5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تبلغ النتيجة والتصحيح أو سبب الرفض كتابة</w:t>
            </w:r>
            <w:r>
              <w:rPr>
                <w:sz w:val="18"/>
                <w:rtl/>
              </w:rPr>
              <w:t>.</w:t>
            </w:r>
          </w:p>
        </w:tc>
        <w:tc>
          <w:tcPr>
            <w:tcW w:w="2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[5] </w:t>
            </w:r>
            <w:r>
              <w:rPr>
                <w:rFonts w:cs="Times New Roman"/>
                <w:sz w:val="18"/>
                <w:rtl/>
              </w:rPr>
              <w:t>أيام عمل</w:t>
            </w:r>
          </w:p>
        </w:tc>
      </w:tr>
      <w:tr w:rsidR="004B456F">
        <w:trPr>
          <w:jc w:val="center"/>
        </w:trPr>
        <w:tc>
          <w:tcPr>
            <w:tcW w:w="18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xml:space="preserve">4. </w:t>
            </w:r>
            <w:r>
              <w:rPr>
                <w:rFonts w:cs="Times New Roman"/>
                <w:sz w:val="18"/>
                <w:rtl/>
              </w:rPr>
              <w:t>التظلم</w:t>
            </w:r>
          </w:p>
        </w:tc>
        <w:tc>
          <w:tcPr>
            <w:tcW w:w="52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يرفع إلى الموارد البشرية</w:t>
            </w:r>
            <w:r>
              <w:rPr>
                <w:sz w:val="18"/>
                <w:rtl/>
              </w:rPr>
              <w:t>/</w:t>
            </w:r>
            <w:r>
              <w:rPr>
                <w:rFonts w:cs="Times New Roman"/>
                <w:sz w:val="18"/>
                <w:rtl/>
              </w:rPr>
              <w:t>جهة مستقلة إذا لم يقتنع الموظف</w:t>
            </w:r>
            <w:r>
              <w:rPr>
                <w:sz w:val="18"/>
                <w:rtl/>
              </w:rPr>
              <w:t>.</w:t>
            </w:r>
          </w:p>
        </w:tc>
        <w:tc>
          <w:tcPr>
            <w:tcW w:w="2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خلال </w:t>
            </w:r>
            <w:r>
              <w:rPr>
                <w:sz w:val="18"/>
                <w:rtl/>
              </w:rPr>
              <w:t xml:space="preserve">[5] </w:t>
            </w:r>
            <w:r>
              <w:rPr>
                <w:rFonts w:cs="Times New Roman"/>
                <w:sz w:val="18"/>
                <w:rtl/>
              </w:rPr>
              <w:t>أيام عمل</w:t>
            </w:r>
          </w:p>
        </w:tc>
      </w:tr>
    </w:tbl>
    <w:p w:rsidR="004B456F" w:rsidRDefault="004B456F" w:rsidP="00DD0B97">
      <w:pPr>
        <w:spacing w:after="0"/>
        <w:jc w:val="left"/>
        <w:rPr>
          <w:rFonts w:hint="eastAsia"/>
        </w:rPr>
      </w:pPr>
    </w:p>
    <w:p w:rsidR="004B456F" w:rsidRDefault="009813CB" w:rsidP="00DD0B97">
      <w:pPr>
        <w:numPr>
          <w:ilvl w:val="0"/>
          <w:numId w:val="1"/>
        </w:numPr>
        <w:jc w:val="left"/>
        <w:rPr>
          <w:rFonts w:hint="eastAsia"/>
        </w:rPr>
      </w:pPr>
      <w:r>
        <w:rPr>
          <w:rFonts w:cs="Times New Roman"/>
          <w:rtl/>
        </w:rPr>
        <w:t xml:space="preserve">لا يجوز اتخاذ </w:t>
      </w:r>
      <w:r>
        <w:rPr>
          <w:rFonts w:cs="Times New Roman"/>
          <w:rtl/>
        </w:rPr>
        <w:t>إجراء سلبي ضد موظف بسبب مطالبته بحسن نية بأجره أو طلبه تفسير الاستقطاع</w:t>
      </w:r>
      <w:r>
        <w:rPr>
          <w:rtl/>
        </w:rPr>
        <w:t>.</w:t>
      </w:r>
    </w:p>
    <w:p w:rsidR="004B456F" w:rsidRDefault="009813CB" w:rsidP="00DD0B97">
      <w:pPr>
        <w:numPr>
          <w:ilvl w:val="0"/>
          <w:numId w:val="1"/>
        </w:numPr>
        <w:jc w:val="left"/>
        <w:rPr>
          <w:rFonts w:hint="eastAsia"/>
        </w:rPr>
      </w:pPr>
      <w:r>
        <w:rPr>
          <w:rFonts w:cs="Times New Roman"/>
          <w:rtl/>
        </w:rPr>
        <w:t>لا تمنع المدة الداخلية الموظف من أي حق أو مدة نظامية، وتصحح الأخطاء الثابتة متى اكتشفت</w:t>
      </w:r>
      <w:r>
        <w:rPr>
          <w:rtl/>
        </w:rPr>
        <w:t>.</w:t>
      </w:r>
    </w:p>
    <w:p w:rsidR="004B456F" w:rsidRDefault="009813CB" w:rsidP="00DD0B97">
      <w:pPr>
        <w:pStyle w:val="1"/>
        <w:jc w:val="left"/>
      </w:pPr>
      <w:r>
        <w:rPr>
          <w:rFonts w:ascii="DejaVu Sans" w:hAnsi="DejaVu Sans" w:cs="DejaVu Sans"/>
          <w:rtl/>
        </w:rPr>
        <w:t xml:space="preserve">27. </w:t>
      </w:r>
      <w:r>
        <w:rPr>
          <w:rFonts w:ascii="DejaVu Sans" w:hAnsi="DejaVu Sans" w:cs="Times New Roman"/>
          <w:rtl/>
        </w:rPr>
        <w:t>حماية البيانات والسرية</w:t>
      </w:r>
    </w:p>
    <w:p w:rsidR="004B456F" w:rsidRDefault="009813CB" w:rsidP="00DD0B97">
      <w:pPr>
        <w:numPr>
          <w:ilvl w:val="0"/>
          <w:numId w:val="1"/>
        </w:numPr>
        <w:jc w:val="left"/>
        <w:rPr>
          <w:rFonts w:hint="eastAsia"/>
        </w:rPr>
      </w:pPr>
      <w:r>
        <w:rPr>
          <w:rFonts w:cs="Times New Roman"/>
          <w:rtl/>
        </w:rPr>
        <w:t>تعد بيانات الأجر والحساب البنكي والتأمينات بيانات شخصية وظيفية، ويقتص</w:t>
      </w:r>
      <w:r>
        <w:rPr>
          <w:rFonts w:cs="Times New Roman"/>
          <w:rtl/>
        </w:rPr>
        <w:t>ر الوصول عليها على من تقتضي مهمته ذلك</w:t>
      </w:r>
      <w:r>
        <w:rPr>
          <w:rtl/>
        </w:rPr>
        <w:t>.</w:t>
      </w:r>
    </w:p>
    <w:p w:rsidR="004B456F" w:rsidRDefault="009813CB" w:rsidP="00DD0B97">
      <w:pPr>
        <w:numPr>
          <w:ilvl w:val="0"/>
          <w:numId w:val="1"/>
        </w:numPr>
        <w:jc w:val="left"/>
        <w:rPr>
          <w:rFonts w:hint="eastAsia"/>
        </w:rPr>
      </w:pPr>
      <w:r>
        <w:rPr>
          <w:rFonts w:cs="Times New Roman"/>
          <w:rtl/>
        </w:rPr>
        <w:t>تطبق صلاحيات منفصلة وتشفير وسجلات تدقيق على ملفات الرواتب والتحويل، ويحظر إرسالها عبر حسابات أو أجهزة شخصية</w:t>
      </w:r>
      <w:r>
        <w:rPr>
          <w:rtl/>
        </w:rPr>
        <w:t>.</w:t>
      </w:r>
    </w:p>
    <w:p w:rsidR="004B456F" w:rsidRDefault="009813CB" w:rsidP="00DD0B97">
      <w:pPr>
        <w:numPr>
          <w:ilvl w:val="0"/>
          <w:numId w:val="1"/>
        </w:numPr>
        <w:jc w:val="left"/>
        <w:rPr>
          <w:rFonts w:hint="eastAsia"/>
        </w:rPr>
      </w:pPr>
      <w:r>
        <w:rPr>
          <w:rFonts w:cs="Times New Roman"/>
          <w:rtl/>
        </w:rPr>
        <w:t>يجوز مشاركة بيانات مجمعة أو نطاقات وظائف لأغراض الحوكمة والشفافية دون كشف أجر فردي غير لازم</w:t>
      </w:r>
      <w:r>
        <w:rPr>
          <w:rtl/>
        </w:rPr>
        <w:t>.</w:t>
      </w:r>
    </w:p>
    <w:p w:rsidR="004B456F" w:rsidRDefault="009813CB" w:rsidP="00DD0B97">
      <w:pPr>
        <w:numPr>
          <w:ilvl w:val="0"/>
          <w:numId w:val="1"/>
        </w:numPr>
        <w:jc w:val="left"/>
        <w:rPr>
          <w:rFonts w:hint="eastAsia"/>
        </w:rPr>
      </w:pPr>
      <w:r>
        <w:rPr>
          <w:rFonts w:cs="Times New Roman"/>
          <w:rtl/>
        </w:rPr>
        <w:t>تحتفظ السجلات و</w:t>
      </w:r>
      <w:r>
        <w:rPr>
          <w:rFonts w:cs="Times New Roman"/>
          <w:rtl/>
        </w:rPr>
        <w:t xml:space="preserve">فق </w:t>
      </w:r>
      <w:r>
        <w:rPr>
          <w:rtl/>
        </w:rPr>
        <w:t>[</w:t>
      </w:r>
      <w:r>
        <w:rPr>
          <w:rFonts w:cs="Times New Roman"/>
          <w:rtl/>
        </w:rPr>
        <w:t>جدول الاحتفاظ</w:t>
      </w:r>
      <w:r>
        <w:rPr>
          <w:rtl/>
        </w:rPr>
        <w:t xml:space="preserve">] </w:t>
      </w:r>
      <w:r>
        <w:rPr>
          <w:rFonts w:cs="Times New Roman"/>
          <w:rtl/>
        </w:rPr>
        <w:t>والمتطلبات النظامية، وتخضع مشاركة البيانات مع البنك أو المزود لضوابط تعاقدية وأمنية</w:t>
      </w:r>
      <w:r>
        <w:rPr>
          <w:rtl/>
        </w:rPr>
        <w:t>.</w:t>
      </w:r>
    </w:p>
    <w:p w:rsidR="004B456F" w:rsidRDefault="009813CB" w:rsidP="00DD0B97">
      <w:pPr>
        <w:pStyle w:val="1"/>
        <w:jc w:val="left"/>
      </w:pPr>
      <w:r>
        <w:rPr>
          <w:rFonts w:ascii="DejaVu Sans" w:hAnsi="DejaVu Sans" w:cs="DejaVu Sans"/>
          <w:rtl/>
        </w:rPr>
        <w:t xml:space="preserve">28. </w:t>
      </w:r>
      <w:r>
        <w:rPr>
          <w:rFonts w:ascii="DejaVu Sans" w:hAnsi="DejaVu Sans" w:cs="Times New Roman"/>
          <w:rtl/>
        </w:rPr>
        <w:t>المسؤوليات</w:t>
      </w:r>
    </w:p>
    <w:tbl>
      <w:tblPr>
        <w:tblStyle w:val="afa"/>
        <w:tblW w:w="9360" w:type="dxa"/>
        <w:jc w:val="center"/>
        <w:tblLayout w:type="fixed"/>
        <w:tblLook w:val="04A0" w:firstRow="1" w:lastRow="0" w:firstColumn="1" w:lastColumn="0" w:noHBand="0" w:noVBand="1"/>
      </w:tblPr>
      <w:tblGrid>
        <w:gridCol w:w="2500"/>
        <w:gridCol w:w="6860"/>
      </w:tblGrid>
      <w:tr w:rsidR="004B456F">
        <w:trPr>
          <w:tblHeader/>
          <w:jc w:val="center"/>
        </w:trPr>
        <w:tc>
          <w:tcPr>
            <w:tcW w:w="25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الجهة</w:t>
            </w:r>
          </w:p>
        </w:tc>
        <w:tc>
          <w:tcPr>
            <w:tcW w:w="68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المسؤوليات الأساسية</w:t>
            </w:r>
          </w:p>
        </w:tc>
      </w:tr>
      <w:tr w:rsidR="004B456F">
        <w:trPr>
          <w:jc w:val="center"/>
        </w:trPr>
        <w:tc>
          <w:tcPr>
            <w:tcW w:w="2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الموظف</w:t>
            </w:r>
          </w:p>
        </w:tc>
        <w:tc>
          <w:tcPr>
            <w:tcW w:w="68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مراجعة العقد وبيان الراتب والحساب البنكي، والإبلاغ عن الخطأ وتحديث البيانات في الوقت المناسب</w:t>
            </w:r>
            <w:r>
              <w:rPr>
                <w:sz w:val="18"/>
                <w:rtl/>
              </w:rPr>
              <w:t>.</w:t>
            </w:r>
          </w:p>
        </w:tc>
      </w:tr>
      <w:tr w:rsidR="004B456F">
        <w:trPr>
          <w:jc w:val="center"/>
        </w:trPr>
        <w:tc>
          <w:tcPr>
            <w:tcW w:w="2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المدير </w:t>
            </w:r>
            <w:r>
              <w:rPr>
                <w:rFonts w:cs="Times New Roman"/>
                <w:sz w:val="18"/>
                <w:rtl/>
              </w:rPr>
              <w:t>المباشر</w:t>
            </w:r>
          </w:p>
        </w:tc>
        <w:tc>
          <w:tcPr>
            <w:tcW w:w="68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تقديم التغييرات والحوافز والحضور ضمن الموعد، وعدم وعد الموظف بزيادة أو مكافأة غير معتمدة</w:t>
            </w:r>
            <w:r>
              <w:rPr>
                <w:sz w:val="18"/>
                <w:rtl/>
              </w:rPr>
              <w:t>.</w:t>
            </w:r>
          </w:p>
        </w:tc>
      </w:tr>
      <w:tr w:rsidR="004B456F">
        <w:trPr>
          <w:jc w:val="center"/>
        </w:trPr>
        <w:tc>
          <w:tcPr>
            <w:tcW w:w="2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الموارد البشرية</w:t>
            </w:r>
          </w:p>
        </w:tc>
        <w:tc>
          <w:tcPr>
            <w:tcW w:w="68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إدارة الهيكل والدرجات والبدلات والتغييرات والعدالة والسياسة والعقود والتظلمات</w:t>
            </w:r>
            <w:r>
              <w:rPr>
                <w:sz w:val="18"/>
                <w:rtl/>
              </w:rPr>
              <w:t>.</w:t>
            </w:r>
          </w:p>
        </w:tc>
      </w:tr>
      <w:tr w:rsidR="004B456F">
        <w:trPr>
          <w:jc w:val="center"/>
        </w:trPr>
        <w:tc>
          <w:tcPr>
            <w:tcW w:w="2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lastRenderedPageBreak/>
              <w:t>الرواتب</w:t>
            </w:r>
          </w:p>
        </w:tc>
        <w:tc>
          <w:tcPr>
            <w:tcW w:w="68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معالجة المسير بدقة، تطبيق الاستقطاعات، إصدار البيانات</w:t>
            </w:r>
            <w:r>
              <w:rPr>
                <w:rFonts w:cs="Times New Roman"/>
                <w:sz w:val="18"/>
                <w:rtl/>
              </w:rPr>
              <w:t>، المطابقة، والتصحيح</w:t>
            </w:r>
            <w:r>
              <w:rPr>
                <w:sz w:val="18"/>
                <w:rtl/>
              </w:rPr>
              <w:t>.</w:t>
            </w:r>
          </w:p>
        </w:tc>
      </w:tr>
      <w:tr w:rsidR="004B456F">
        <w:trPr>
          <w:jc w:val="center"/>
        </w:trPr>
        <w:tc>
          <w:tcPr>
            <w:tcW w:w="2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المالية</w:t>
            </w:r>
          </w:p>
        </w:tc>
        <w:tc>
          <w:tcPr>
            <w:tcW w:w="68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توفير التمويل واعتماد التحويل البنكي ومطابقته وحفظ القيود ضمن فصل الصلاحيات</w:t>
            </w:r>
            <w:r>
              <w:rPr>
                <w:sz w:val="18"/>
                <w:rtl/>
              </w:rPr>
              <w:t>.</w:t>
            </w:r>
          </w:p>
        </w:tc>
      </w:tr>
      <w:tr w:rsidR="004B456F">
        <w:trPr>
          <w:jc w:val="center"/>
        </w:trPr>
        <w:tc>
          <w:tcPr>
            <w:tcW w:w="2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الإدارة العليا</w:t>
            </w:r>
            <w:r>
              <w:rPr>
                <w:sz w:val="18"/>
                <w:rtl/>
              </w:rPr>
              <w:t>/</w:t>
            </w:r>
            <w:r>
              <w:rPr>
                <w:rFonts w:cs="Times New Roman"/>
                <w:sz w:val="18"/>
                <w:rtl/>
              </w:rPr>
              <w:t>اللجنة</w:t>
            </w:r>
          </w:p>
        </w:tc>
        <w:tc>
          <w:tcPr>
            <w:tcW w:w="68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اعتماد الفلسفة والنطاقات والميزانية والاستثناءات ومراجعة المخاطر والمؤشرات</w:t>
            </w:r>
            <w:r>
              <w:rPr>
                <w:sz w:val="18"/>
                <w:rtl/>
              </w:rPr>
              <w:t>.</w:t>
            </w:r>
          </w:p>
        </w:tc>
      </w:tr>
      <w:tr w:rsidR="004B456F">
        <w:trPr>
          <w:jc w:val="center"/>
        </w:trPr>
        <w:tc>
          <w:tcPr>
            <w:tcW w:w="2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تقنية المعلومات</w:t>
            </w:r>
            <w:r>
              <w:rPr>
                <w:sz w:val="18"/>
                <w:rtl/>
              </w:rPr>
              <w:t>/</w:t>
            </w:r>
            <w:r>
              <w:rPr>
                <w:rFonts w:cs="Times New Roman"/>
                <w:sz w:val="18"/>
                <w:rtl/>
              </w:rPr>
              <w:t>الأمن</w:t>
            </w:r>
          </w:p>
        </w:tc>
        <w:tc>
          <w:tcPr>
            <w:tcW w:w="68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حماية الأنظمة والتكامل </w:t>
            </w:r>
            <w:r>
              <w:rPr>
                <w:rFonts w:cs="Times New Roman"/>
                <w:sz w:val="18"/>
                <w:rtl/>
              </w:rPr>
              <w:t>والصلاحيات والنسخ الاحتياطي والاستجابة للحوادث</w:t>
            </w:r>
            <w:r>
              <w:rPr>
                <w:sz w:val="18"/>
                <w:rtl/>
              </w:rPr>
              <w:t>.</w:t>
            </w:r>
          </w:p>
        </w:tc>
      </w:tr>
    </w:tbl>
    <w:p w:rsidR="004B456F" w:rsidRDefault="004B456F" w:rsidP="00DD0B97">
      <w:pPr>
        <w:spacing w:after="0"/>
        <w:jc w:val="left"/>
        <w:rPr>
          <w:rFonts w:hint="eastAsia"/>
        </w:rPr>
      </w:pPr>
    </w:p>
    <w:p w:rsidR="004B456F" w:rsidRDefault="009813CB" w:rsidP="00DD0B97">
      <w:pPr>
        <w:pStyle w:val="1"/>
        <w:jc w:val="left"/>
      </w:pPr>
      <w:r>
        <w:rPr>
          <w:rFonts w:ascii="DejaVu Sans" w:hAnsi="DejaVu Sans" w:cs="DejaVu Sans"/>
          <w:rtl/>
        </w:rPr>
        <w:t xml:space="preserve">29. </w:t>
      </w:r>
      <w:r>
        <w:rPr>
          <w:rFonts w:ascii="DejaVu Sans" w:hAnsi="DejaVu Sans" w:cs="Times New Roman"/>
          <w:rtl/>
        </w:rPr>
        <w:t>الرقابة ومؤشرات الجودة</w:t>
      </w:r>
    </w:p>
    <w:p w:rsidR="004B456F" w:rsidRDefault="009813CB" w:rsidP="00DD0B97">
      <w:pPr>
        <w:numPr>
          <w:ilvl w:val="0"/>
          <w:numId w:val="1"/>
        </w:numPr>
        <w:jc w:val="left"/>
        <w:rPr>
          <w:rFonts w:hint="eastAsia"/>
        </w:rPr>
      </w:pPr>
      <w:r>
        <w:rPr>
          <w:rFonts w:cs="Times New Roman"/>
          <w:rtl/>
        </w:rPr>
        <w:t>نسبة الرواتب المدفوعة في موعدها، ومعدل الأخطاء والتصحيحات، والتحويلات المرفوضة، ووقت إغلاق الاستفسارات</w:t>
      </w:r>
      <w:r>
        <w:rPr>
          <w:rtl/>
        </w:rPr>
        <w:t>.</w:t>
      </w:r>
    </w:p>
    <w:p w:rsidR="004B456F" w:rsidRDefault="009813CB" w:rsidP="00DD0B97">
      <w:pPr>
        <w:numPr>
          <w:ilvl w:val="0"/>
          <w:numId w:val="1"/>
        </w:numPr>
        <w:jc w:val="left"/>
        <w:rPr>
          <w:rFonts w:hint="eastAsia"/>
        </w:rPr>
      </w:pPr>
      <w:r>
        <w:rPr>
          <w:rFonts w:cs="Times New Roman"/>
          <w:rtl/>
        </w:rPr>
        <w:t xml:space="preserve">نسبة الفروقات غير المبررة داخل الدرجة، وموقع الرواتب في النطاق، وتكلفة </w:t>
      </w:r>
      <w:r>
        <w:rPr>
          <w:rFonts w:cs="Times New Roman"/>
          <w:rtl/>
        </w:rPr>
        <w:t>الأجور والمزايا، وتوزيع الزيادات والحوافز</w:t>
      </w:r>
      <w:r>
        <w:rPr>
          <w:rtl/>
        </w:rPr>
        <w:t>.</w:t>
      </w:r>
    </w:p>
    <w:p w:rsidR="004B456F" w:rsidRDefault="009813CB" w:rsidP="00DD0B97">
      <w:pPr>
        <w:numPr>
          <w:ilvl w:val="0"/>
          <w:numId w:val="1"/>
        </w:numPr>
        <w:jc w:val="left"/>
        <w:rPr>
          <w:rFonts w:hint="eastAsia"/>
        </w:rPr>
      </w:pPr>
      <w:r>
        <w:rPr>
          <w:rFonts w:cs="Times New Roman"/>
          <w:rtl/>
        </w:rPr>
        <w:t>مطابقة العقود والتأمينات وحماية الأجور والدفتر المحاسبي، ومراجعة الحسابات المكررة أو التغييرات غير المعتادة</w:t>
      </w:r>
      <w:r>
        <w:rPr>
          <w:rtl/>
        </w:rPr>
        <w:t>.</w:t>
      </w:r>
    </w:p>
    <w:p w:rsidR="004B456F" w:rsidRDefault="009813CB" w:rsidP="00DD0B97">
      <w:pPr>
        <w:numPr>
          <w:ilvl w:val="0"/>
          <w:numId w:val="1"/>
        </w:numPr>
        <w:jc w:val="left"/>
        <w:rPr>
          <w:rFonts w:hint="eastAsia"/>
        </w:rPr>
      </w:pPr>
      <w:r>
        <w:rPr>
          <w:rFonts w:cs="Times New Roman"/>
          <w:rtl/>
        </w:rPr>
        <w:t>تدقيق عينة من التعيينات والترقيات والاستثناءات والاستقطاعات والتسويات النهائية مع تتبع الموافقات</w:t>
      </w:r>
      <w:r>
        <w:rPr>
          <w:rtl/>
        </w:rPr>
        <w:t>.</w:t>
      </w:r>
    </w:p>
    <w:p w:rsidR="004B456F" w:rsidRDefault="009813CB" w:rsidP="00DD0B97">
      <w:pPr>
        <w:numPr>
          <w:ilvl w:val="0"/>
          <w:numId w:val="1"/>
        </w:numPr>
        <w:jc w:val="left"/>
        <w:rPr>
          <w:rFonts w:hint="eastAsia"/>
        </w:rPr>
      </w:pPr>
      <w:r>
        <w:rPr>
          <w:rFonts w:cs="Times New Roman"/>
          <w:rtl/>
        </w:rPr>
        <w:t>لا تست</w:t>
      </w:r>
      <w:r>
        <w:rPr>
          <w:rFonts w:cs="Times New Roman"/>
          <w:rtl/>
        </w:rPr>
        <w:t>خدم المؤشرات لخفض الأجور آليًا أو لإجبار توزيع محدد للزيادات دون مراجعة مهنية للسياق</w:t>
      </w:r>
      <w:r>
        <w:rPr>
          <w:rtl/>
        </w:rPr>
        <w:t>.</w:t>
      </w:r>
    </w:p>
    <w:p w:rsidR="004B456F" w:rsidRDefault="009813CB" w:rsidP="00DD0B97">
      <w:pPr>
        <w:pStyle w:val="1"/>
        <w:jc w:val="left"/>
      </w:pPr>
      <w:r>
        <w:rPr>
          <w:rFonts w:ascii="DejaVu Sans" w:hAnsi="DejaVu Sans" w:cs="DejaVu Sans"/>
          <w:rtl/>
        </w:rPr>
        <w:t xml:space="preserve">30. </w:t>
      </w:r>
      <w:r>
        <w:rPr>
          <w:rFonts w:ascii="DejaVu Sans" w:hAnsi="DejaVu Sans" w:cs="Times New Roman"/>
          <w:rtl/>
        </w:rPr>
        <w:t>الاستثناءات والسريان والمراجعة</w:t>
      </w:r>
    </w:p>
    <w:p w:rsidR="004B456F" w:rsidRDefault="009813CB" w:rsidP="00DD0B97">
      <w:pPr>
        <w:numPr>
          <w:ilvl w:val="0"/>
          <w:numId w:val="1"/>
        </w:numPr>
        <w:jc w:val="left"/>
        <w:rPr>
          <w:rFonts w:hint="eastAsia"/>
        </w:rPr>
      </w:pPr>
      <w:r>
        <w:rPr>
          <w:rFonts w:cs="Times New Roman"/>
          <w:rtl/>
        </w:rPr>
        <w:t xml:space="preserve">لا يعتمد أي استثناء من النطاق أو البدل أو الحافز إلا بمبرر مكتوب وتوصية الموارد البشرية وتحقق الميزانية واعتماد </w:t>
      </w:r>
      <w:r>
        <w:rPr>
          <w:rtl/>
        </w:rPr>
        <w:t>[</w:t>
      </w:r>
      <w:r>
        <w:rPr>
          <w:rFonts w:cs="Times New Roman"/>
          <w:rtl/>
        </w:rPr>
        <w:t>صاحب الصلاحية</w:t>
      </w:r>
      <w:r>
        <w:rPr>
          <w:rtl/>
        </w:rPr>
        <w:t>].</w:t>
      </w:r>
    </w:p>
    <w:p w:rsidR="004B456F" w:rsidRDefault="009813CB" w:rsidP="00DD0B97">
      <w:pPr>
        <w:numPr>
          <w:ilvl w:val="0"/>
          <w:numId w:val="1"/>
        </w:numPr>
        <w:jc w:val="left"/>
        <w:rPr>
          <w:rFonts w:hint="eastAsia"/>
        </w:rPr>
      </w:pPr>
      <w:r>
        <w:rPr>
          <w:rFonts w:cs="Times New Roman"/>
          <w:rtl/>
        </w:rPr>
        <w:t>لا يجو</w:t>
      </w:r>
      <w:r>
        <w:rPr>
          <w:rFonts w:cs="Times New Roman"/>
          <w:rtl/>
        </w:rPr>
        <w:t>ز أن يخالف الاستثناء نظامًا أو عقدًا، ويجب مراجعة أثره على العدالة والاستدامة وعدم تحوله إلى ممارسة غير معلنة</w:t>
      </w:r>
      <w:r>
        <w:rPr>
          <w:rtl/>
        </w:rPr>
        <w:t>.</w:t>
      </w:r>
    </w:p>
    <w:p w:rsidR="004B456F" w:rsidRDefault="009813CB" w:rsidP="00DD0B97">
      <w:pPr>
        <w:numPr>
          <w:ilvl w:val="0"/>
          <w:numId w:val="1"/>
        </w:numPr>
        <w:jc w:val="left"/>
        <w:rPr>
          <w:rFonts w:hint="eastAsia"/>
        </w:rPr>
      </w:pPr>
      <w:r>
        <w:rPr>
          <w:rFonts w:cs="Times New Roman"/>
          <w:rtl/>
        </w:rPr>
        <w:t xml:space="preserve">تسري السياسة من </w:t>
      </w:r>
      <w:r>
        <w:rPr>
          <w:rtl/>
        </w:rPr>
        <w:t>[</w:t>
      </w:r>
      <w:r>
        <w:rPr>
          <w:rFonts w:cs="Times New Roman"/>
          <w:rtl/>
        </w:rPr>
        <w:t>تاريخ السريان</w:t>
      </w:r>
      <w:r>
        <w:rPr>
          <w:rtl/>
        </w:rPr>
        <w:t xml:space="preserve">] </w:t>
      </w:r>
      <w:r>
        <w:rPr>
          <w:rFonts w:cs="Times New Roman"/>
          <w:rtl/>
        </w:rPr>
        <w:t>بعد اعتمادها وتحديث الأنظمة والعقود والإجراءات وإبلاغ المعنيين</w:t>
      </w:r>
      <w:r>
        <w:rPr>
          <w:rtl/>
        </w:rPr>
        <w:t>.</w:t>
      </w:r>
    </w:p>
    <w:p w:rsidR="004B456F" w:rsidRDefault="009813CB" w:rsidP="00DD0B97">
      <w:pPr>
        <w:numPr>
          <w:ilvl w:val="0"/>
          <w:numId w:val="1"/>
        </w:numPr>
        <w:jc w:val="left"/>
        <w:rPr>
          <w:rFonts w:hint="eastAsia"/>
        </w:rPr>
      </w:pPr>
      <w:r>
        <w:rPr>
          <w:rFonts w:cs="Times New Roman"/>
          <w:rtl/>
        </w:rPr>
        <w:t>تراجع سنويًا أو عند تعديل الأنظمة أو هيكل الدرجات</w:t>
      </w:r>
      <w:r>
        <w:rPr>
          <w:rFonts w:cs="Times New Roman"/>
          <w:rtl/>
        </w:rPr>
        <w:t xml:space="preserve"> أو برنامج حماية الأجور أو التأمينات أو منصة الرواتب</w:t>
      </w:r>
      <w:r>
        <w:rPr>
          <w:rtl/>
        </w:rPr>
        <w:t>.</w:t>
      </w:r>
    </w:p>
    <w:p w:rsidR="004B456F" w:rsidRDefault="009813CB" w:rsidP="00DD0B97">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أ</w:t>
      </w:r>
      <w:r>
        <w:rPr>
          <w:rFonts w:ascii="DejaVu Sans" w:hAnsi="DejaVu Sans" w:cs="DejaVu Sans"/>
          <w:rtl/>
        </w:rPr>
        <w:t xml:space="preserve">): </w:t>
      </w:r>
      <w:r>
        <w:rPr>
          <w:rFonts w:ascii="DejaVu Sans" w:hAnsi="DejaVu Sans" w:cs="Times New Roman"/>
          <w:rtl/>
        </w:rPr>
        <w:t>نموذج هيكل التعويض للوظيفة</w:t>
      </w:r>
    </w:p>
    <w:tbl>
      <w:tblPr>
        <w:tblStyle w:val="afa"/>
        <w:tblW w:w="9360" w:type="dxa"/>
        <w:jc w:val="center"/>
        <w:tblLayout w:type="fixed"/>
        <w:tblLook w:val="04A0" w:firstRow="1" w:lastRow="0" w:firstColumn="1" w:lastColumn="0" w:noHBand="0" w:noVBand="1"/>
      </w:tblPr>
      <w:tblGrid>
        <w:gridCol w:w="3400"/>
        <w:gridCol w:w="5960"/>
      </w:tblGrid>
      <w:tr w:rsidR="004B456F">
        <w:trPr>
          <w:tblHeader/>
          <w:jc w:val="center"/>
        </w:trPr>
        <w:tc>
          <w:tcPr>
            <w:tcW w:w="34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العنصر</w:t>
            </w:r>
          </w:p>
        </w:tc>
        <w:tc>
          <w:tcPr>
            <w:tcW w:w="596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القيمة</w:t>
            </w:r>
            <w:r>
              <w:rPr>
                <w:b/>
                <w:color w:val="FFFFFF"/>
                <w:sz w:val="18"/>
                <w:rtl/>
              </w:rPr>
              <w:t>/</w:t>
            </w:r>
            <w:r>
              <w:rPr>
                <w:rFonts w:cs="Times New Roman"/>
                <w:b/>
                <w:color w:val="FFFFFF"/>
                <w:sz w:val="18"/>
                <w:rtl/>
              </w:rPr>
              <w:t>القاعدة</w:t>
            </w:r>
          </w:p>
        </w:tc>
      </w:tr>
      <w:tr w:rsidR="004B456F">
        <w:trPr>
          <w:jc w:val="center"/>
        </w:trPr>
        <w:tc>
          <w:tcPr>
            <w:tcW w:w="34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المسمى والدرجة</w:t>
            </w:r>
          </w:p>
        </w:tc>
        <w:tc>
          <w:tcPr>
            <w:tcW w:w="59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r w:rsidR="004B456F">
        <w:trPr>
          <w:jc w:val="center"/>
        </w:trPr>
        <w:tc>
          <w:tcPr>
            <w:tcW w:w="34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نطاق الراتب الأساسي</w:t>
            </w:r>
          </w:p>
        </w:tc>
        <w:tc>
          <w:tcPr>
            <w:tcW w:w="59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الحد الأدنى</w:t>
            </w:r>
            <w:r>
              <w:rPr>
                <w:sz w:val="18"/>
                <w:rtl/>
              </w:rPr>
              <w:t>/</w:t>
            </w:r>
            <w:r>
              <w:rPr>
                <w:rFonts w:cs="Times New Roman"/>
                <w:sz w:val="18"/>
                <w:rtl/>
              </w:rPr>
              <w:t>الوسط</w:t>
            </w:r>
            <w:r>
              <w:rPr>
                <w:sz w:val="18"/>
                <w:rtl/>
              </w:rPr>
              <w:t>/</w:t>
            </w:r>
            <w:r>
              <w:rPr>
                <w:rFonts w:cs="Times New Roman"/>
                <w:sz w:val="18"/>
                <w:rtl/>
              </w:rPr>
              <w:t>الأعلى</w:t>
            </w:r>
            <w:r>
              <w:rPr>
                <w:sz w:val="18"/>
                <w:rtl/>
              </w:rPr>
              <w:t>]</w:t>
            </w:r>
          </w:p>
        </w:tc>
      </w:tr>
      <w:tr w:rsidR="004B456F">
        <w:trPr>
          <w:jc w:val="center"/>
        </w:trPr>
        <w:tc>
          <w:tcPr>
            <w:tcW w:w="34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الراتب الأساسي</w:t>
            </w:r>
          </w:p>
        </w:tc>
        <w:tc>
          <w:tcPr>
            <w:tcW w:w="59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r w:rsidR="004B456F">
        <w:trPr>
          <w:jc w:val="center"/>
        </w:trPr>
        <w:tc>
          <w:tcPr>
            <w:tcW w:w="34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بدل السكن</w:t>
            </w:r>
          </w:p>
        </w:tc>
        <w:tc>
          <w:tcPr>
            <w:tcW w:w="59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r w:rsidR="004B456F">
        <w:trPr>
          <w:jc w:val="center"/>
        </w:trPr>
        <w:tc>
          <w:tcPr>
            <w:tcW w:w="34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بدل النقل</w:t>
            </w:r>
          </w:p>
        </w:tc>
        <w:tc>
          <w:tcPr>
            <w:tcW w:w="59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r w:rsidR="004B456F">
        <w:trPr>
          <w:jc w:val="center"/>
        </w:trPr>
        <w:tc>
          <w:tcPr>
            <w:tcW w:w="34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بدلات أخرى</w:t>
            </w:r>
          </w:p>
        </w:tc>
        <w:tc>
          <w:tcPr>
            <w:tcW w:w="59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r w:rsidR="004B456F">
        <w:trPr>
          <w:jc w:val="center"/>
        </w:trPr>
        <w:tc>
          <w:tcPr>
            <w:tcW w:w="34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 xml:space="preserve">الحافز </w:t>
            </w:r>
            <w:r>
              <w:rPr>
                <w:rFonts w:cs="Times New Roman"/>
                <w:sz w:val="18"/>
                <w:rtl/>
              </w:rPr>
              <w:t>المستهدف</w:t>
            </w:r>
          </w:p>
        </w:tc>
        <w:tc>
          <w:tcPr>
            <w:tcW w:w="59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نسبة</w:t>
            </w:r>
            <w:r>
              <w:rPr>
                <w:sz w:val="18"/>
                <w:rtl/>
              </w:rPr>
              <w:t>/</w:t>
            </w:r>
            <w:r>
              <w:rPr>
                <w:rFonts w:cs="Times New Roman"/>
                <w:sz w:val="18"/>
                <w:rtl/>
              </w:rPr>
              <w:t>مبلغ وشروط</w:t>
            </w:r>
            <w:r>
              <w:rPr>
                <w:sz w:val="18"/>
                <w:rtl/>
              </w:rPr>
              <w:t>]</w:t>
            </w:r>
          </w:p>
        </w:tc>
      </w:tr>
      <w:tr w:rsidR="004B456F">
        <w:trPr>
          <w:jc w:val="center"/>
        </w:trPr>
        <w:tc>
          <w:tcPr>
            <w:tcW w:w="34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lastRenderedPageBreak/>
              <w:t>المزايا العينية</w:t>
            </w:r>
          </w:p>
        </w:tc>
        <w:tc>
          <w:tcPr>
            <w:tcW w:w="59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 ]</w:t>
            </w:r>
          </w:p>
        </w:tc>
      </w:tr>
      <w:tr w:rsidR="004B456F">
        <w:trPr>
          <w:jc w:val="center"/>
        </w:trPr>
        <w:tc>
          <w:tcPr>
            <w:tcW w:w="34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الأجر الخاضع للتأمينات</w:t>
            </w:r>
          </w:p>
        </w:tc>
        <w:tc>
          <w:tcPr>
            <w:tcW w:w="596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حسب النظام</w:t>
            </w:r>
            <w:r>
              <w:rPr>
                <w:sz w:val="18"/>
                <w:rtl/>
              </w:rPr>
              <w:t>]</w:t>
            </w:r>
          </w:p>
        </w:tc>
      </w:tr>
    </w:tbl>
    <w:p w:rsidR="004B456F" w:rsidRDefault="004B456F" w:rsidP="00DD0B97">
      <w:pPr>
        <w:spacing w:after="0"/>
        <w:jc w:val="left"/>
        <w:rPr>
          <w:rFonts w:hint="eastAsia"/>
        </w:rPr>
      </w:pPr>
    </w:p>
    <w:p w:rsidR="004B456F" w:rsidRDefault="009813CB" w:rsidP="00DD0B97">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ب</w:t>
      </w:r>
      <w:r>
        <w:rPr>
          <w:rFonts w:ascii="DejaVu Sans" w:hAnsi="DejaVu Sans" w:cs="DejaVu Sans"/>
          <w:rtl/>
        </w:rPr>
        <w:t xml:space="preserve">): </w:t>
      </w:r>
      <w:r>
        <w:rPr>
          <w:rFonts w:ascii="DejaVu Sans" w:hAnsi="DejaVu Sans" w:cs="Times New Roman"/>
          <w:rtl/>
        </w:rPr>
        <w:t>نموذج طلب تعديل أجر</w:t>
      </w:r>
    </w:p>
    <w:tbl>
      <w:tblPr>
        <w:tblStyle w:val="afa"/>
        <w:tblW w:w="9360" w:type="dxa"/>
        <w:jc w:val="center"/>
        <w:tblLayout w:type="fixed"/>
        <w:tblLook w:val="04A0" w:firstRow="1" w:lastRow="0" w:firstColumn="1" w:lastColumn="0" w:noHBand="0" w:noVBand="1"/>
      </w:tblPr>
      <w:tblGrid>
        <w:gridCol w:w="3200"/>
        <w:gridCol w:w="6160"/>
      </w:tblGrid>
      <w:tr w:rsidR="004B456F">
        <w:trPr>
          <w:tblHeader/>
          <w:jc w:val="center"/>
        </w:trPr>
        <w:tc>
          <w:tcPr>
            <w:tcW w:w="3200" w:type="dxa"/>
            <w:shd w:val="clear" w:color="auto" w:fill="17243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b/>
                <w:color w:val="FFFFFF"/>
                <w:sz w:val="17"/>
                <w:rtl/>
              </w:rPr>
              <w:t>الحقل</w:t>
            </w:r>
          </w:p>
        </w:tc>
        <w:tc>
          <w:tcPr>
            <w:tcW w:w="6160" w:type="dxa"/>
            <w:shd w:val="clear" w:color="auto" w:fill="17243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b/>
                <w:color w:val="FFFFFF"/>
                <w:sz w:val="17"/>
                <w:rtl/>
              </w:rPr>
              <w:t>البيانات</w:t>
            </w:r>
          </w:p>
        </w:tc>
      </w:tr>
      <w:tr w:rsidR="004B456F">
        <w:trPr>
          <w:jc w:val="center"/>
        </w:trPr>
        <w:tc>
          <w:tcPr>
            <w:tcW w:w="320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sz w:val="17"/>
                <w:rtl/>
              </w:rPr>
              <w:t>اسم الموظف</w:t>
            </w:r>
            <w:r>
              <w:rPr>
                <w:sz w:val="17"/>
                <w:rtl/>
              </w:rPr>
              <w:t>/</w:t>
            </w:r>
            <w:r>
              <w:rPr>
                <w:rFonts w:cs="Times New Roman"/>
                <w:sz w:val="17"/>
                <w:rtl/>
              </w:rPr>
              <w:t>الرقم الوظيفي</w:t>
            </w:r>
          </w:p>
        </w:tc>
        <w:tc>
          <w:tcPr>
            <w:tcW w:w="616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sz w:val="17"/>
                <w:rtl/>
              </w:rPr>
              <w:t>[ ]</w:t>
            </w:r>
          </w:p>
        </w:tc>
      </w:tr>
      <w:tr w:rsidR="004B456F">
        <w:trPr>
          <w:jc w:val="center"/>
        </w:trPr>
        <w:tc>
          <w:tcPr>
            <w:tcW w:w="320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sz w:val="17"/>
                <w:rtl/>
              </w:rPr>
              <w:t>المسمى والدرجة الحالية</w:t>
            </w:r>
          </w:p>
        </w:tc>
        <w:tc>
          <w:tcPr>
            <w:tcW w:w="616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sz w:val="17"/>
                <w:rtl/>
              </w:rPr>
              <w:t>[ ]</w:t>
            </w:r>
          </w:p>
        </w:tc>
      </w:tr>
      <w:tr w:rsidR="004B456F">
        <w:trPr>
          <w:jc w:val="center"/>
        </w:trPr>
        <w:tc>
          <w:tcPr>
            <w:tcW w:w="320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sz w:val="17"/>
                <w:rtl/>
              </w:rPr>
              <w:t>الراتب الحالي وموقعه في النطاق</w:t>
            </w:r>
          </w:p>
        </w:tc>
        <w:tc>
          <w:tcPr>
            <w:tcW w:w="616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sz w:val="17"/>
                <w:rtl/>
              </w:rPr>
              <w:t>[ ]</w:t>
            </w:r>
          </w:p>
        </w:tc>
      </w:tr>
      <w:tr w:rsidR="004B456F">
        <w:trPr>
          <w:jc w:val="center"/>
        </w:trPr>
        <w:tc>
          <w:tcPr>
            <w:tcW w:w="320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sz w:val="17"/>
                <w:rtl/>
              </w:rPr>
              <w:t>نوع التعديل</w:t>
            </w:r>
          </w:p>
        </w:tc>
        <w:tc>
          <w:tcPr>
            <w:tcW w:w="616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sz w:val="17"/>
                <w:rtl/>
              </w:rPr>
              <w:t>[</w:t>
            </w:r>
            <w:r>
              <w:rPr>
                <w:rFonts w:cs="Times New Roman"/>
                <w:sz w:val="17"/>
                <w:rtl/>
              </w:rPr>
              <w:t>دوري</w:t>
            </w:r>
            <w:r>
              <w:rPr>
                <w:sz w:val="17"/>
                <w:rtl/>
              </w:rPr>
              <w:t>/</w:t>
            </w:r>
            <w:r>
              <w:rPr>
                <w:rFonts w:cs="Times New Roman"/>
                <w:sz w:val="17"/>
                <w:rtl/>
              </w:rPr>
              <w:t>ترقية</w:t>
            </w:r>
            <w:r>
              <w:rPr>
                <w:sz w:val="17"/>
                <w:rtl/>
              </w:rPr>
              <w:t>/</w:t>
            </w:r>
            <w:r>
              <w:rPr>
                <w:rFonts w:cs="Times New Roman"/>
                <w:sz w:val="17"/>
                <w:rtl/>
              </w:rPr>
              <w:t>سوقي</w:t>
            </w:r>
            <w:r>
              <w:rPr>
                <w:sz w:val="17"/>
                <w:rtl/>
              </w:rPr>
              <w:t>/</w:t>
            </w:r>
            <w:r>
              <w:rPr>
                <w:rFonts w:cs="Times New Roman"/>
                <w:sz w:val="17"/>
                <w:rtl/>
              </w:rPr>
              <w:t>عدالة</w:t>
            </w:r>
            <w:r>
              <w:rPr>
                <w:sz w:val="17"/>
                <w:rtl/>
              </w:rPr>
              <w:t>/</w:t>
            </w:r>
            <w:r>
              <w:rPr>
                <w:rFonts w:cs="Times New Roman"/>
                <w:sz w:val="17"/>
                <w:rtl/>
              </w:rPr>
              <w:t>احتفاظ</w:t>
            </w:r>
            <w:r>
              <w:rPr>
                <w:sz w:val="17"/>
                <w:rtl/>
              </w:rPr>
              <w:t>/</w:t>
            </w:r>
            <w:r>
              <w:rPr>
                <w:rFonts w:cs="Times New Roman"/>
                <w:sz w:val="17"/>
                <w:rtl/>
              </w:rPr>
              <w:t>تصحيح</w:t>
            </w:r>
            <w:r>
              <w:rPr>
                <w:sz w:val="17"/>
                <w:rtl/>
              </w:rPr>
              <w:t>]</w:t>
            </w:r>
          </w:p>
        </w:tc>
      </w:tr>
      <w:tr w:rsidR="004B456F">
        <w:trPr>
          <w:jc w:val="center"/>
        </w:trPr>
        <w:tc>
          <w:tcPr>
            <w:tcW w:w="320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sz w:val="17"/>
                <w:rtl/>
              </w:rPr>
              <w:t>المبلغ</w:t>
            </w:r>
            <w:r>
              <w:rPr>
                <w:sz w:val="17"/>
                <w:rtl/>
              </w:rPr>
              <w:t>/</w:t>
            </w:r>
            <w:r>
              <w:rPr>
                <w:rFonts w:cs="Times New Roman"/>
                <w:sz w:val="17"/>
                <w:rtl/>
              </w:rPr>
              <w:t>النسبة المقترحة</w:t>
            </w:r>
          </w:p>
        </w:tc>
        <w:tc>
          <w:tcPr>
            <w:tcW w:w="616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sz w:val="17"/>
                <w:rtl/>
              </w:rPr>
              <w:t>[ ]</w:t>
            </w:r>
          </w:p>
        </w:tc>
      </w:tr>
      <w:tr w:rsidR="004B456F">
        <w:trPr>
          <w:jc w:val="center"/>
        </w:trPr>
        <w:tc>
          <w:tcPr>
            <w:tcW w:w="320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sz w:val="17"/>
                <w:rtl/>
              </w:rPr>
              <w:t>تاريخ السريان</w:t>
            </w:r>
          </w:p>
        </w:tc>
        <w:tc>
          <w:tcPr>
            <w:tcW w:w="616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sz w:val="17"/>
                <w:rtl/>
              </w:rPr>
              <w:t>[ ]</w:t>
            </w:r>
          </w:p>
        </w:tc>
      </w:tr>
      <w:tr w:rsidR="004B456F">
        <w:trPr>
          <w:jc w:val="center"/>
        </w:trPr>
        <w:tc>
          <w:tcPr>
            <w:tcW w:w="320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sz w:val="17"/>
                <w:rtl/>
              </w:rPr>
              <w:t>المبرر والأدلة</w:t>
            </w:r>
          </w:p>
        </w:tc>
        <w:tc>
          <w:tcPr>
            <w:tcW w:w="616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sz w:val="17"/>
                <w:rtl/>
              </w:rPr>
              <w:t>[ ]</w:t>
            </w:r>
          </w:p>
        </w:tc>
      </w:tr>
      <w:tr w:rsidR="004B456F">
        <w:trPr>
          <w:jc w:val="center"/>
        </w:trPr>
        <w:tc>
          <w:tcPr>
            <w:tcW w:w="320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sz w:val="17"/>
                <w:rtl/>
              </w:rPr>
              <w:t>الأثر على العدالة والميزانية</w:t>
            </w:r>
          </w:p>
        </w:tc>
        <w:tc>
          <w:tcPr>
            <w:tcW w:w="616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sz w:val="17"/>
                <w:rtl/>
              </w:rPr>
              <w:t>[ ]</w:t>
            </w:r>
          </w:p>
        </w:tc>
      </w:tr>
      <w:tr w:rsidR="004B456F">
        <w:trPr>
          <w:jc w:val="center"/>
        </w:trPr>
        <w:tc>
          <w:tcPr>
            <w:tcW w:w="320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rFonts w:cs="Times New Roman"/>
                <w:sz w:val="17"/>
                <w:rtl/>
              </w:rPr>
              <w:t>الاعتمادات</w:t>
            </w:r>
          </w:p>
        </w:tc>
        <w:tc>
          <w:tcPr>
            <w:tcW w:w="6160" w:type="dxa"/>
            <w:tcMar>
              <w:top w:w="100" w:type="dxa"/>
              <w:left w:w="130" w:type="dxa"/>
              <w:bottom w:w="100" w:type="dxa"/>
              <w:right w:w="130" w:type="dxa"/>
            </w:tcMar>
            <w:vAlign w:val="center"/>
          </w:tcPr>
          <w:p w:rsidR="004B456F" w:rsidRDefault="009813CB" w:rsidP="00DD0B97">
            <w:pPr>
              <w:spacing w:after="0" w:line="252" w:lineRule="auto"/>
              <w:jc w:val="left"/>
              <w:rPr>
                <w:rFonts w:hint="eastAsia"/>
              </w:rPr>
            </w:pPr>
            <w:r>
              <w:rPr>
                <w:sz w:val="17"/>
                <w:rtl/>
              </w:rPr>
              <w:t>[</w:t>
            </w:r>
            <w:r>
              <w:rPr>
                <w:rFonts w:cs="Times New Roman"/>
                <w:sz w:val="17"/>
                <w:rtl/>
              </w:rPr>
              <w:t>المدير</w:t>
            </w:r>
            <w:r>
              <w:rPr>
                <w:sz w:val="17"/>
                <w:rtl/>
              </w:rPr>
              <w:t>/</w:t>
            </w:r>
            <w:r>
              <w:rPr>
                <w:rFonts w:cs="Times New Roman"/>
                <w:sz w:val="17"/>
                <w:rtl/>
              </w:rPr>
              <w:t>الموارد البشرية</w:t>
            </w:r>
            <w:r>
              <w:rPr>
                <w:sz w:val="17"/>
                <w:rtl/>
              </w:rPr>
              <w:t>/</w:t>
            </w:r>
            <w:r>
              <w:rPr>
                <w:rFonts w:cs="Times New Roman"/>
                <w:sz w:val="17"/>
                <w:rtl/>
              </w:rPr>
              <w:t>المالية</w:t>
            </w:r>
            <w:r>
              <w:rPr>
                <w:sz w:val="17"/>
                <w:rtl/>
              </w:rPr>
              <w:t>/</w:t>
            </w:r>
            <w:r>
              <w:rPr>
                <w:rFonts w:cs="Times New Roman"/>
                <w:sz w:val="17"/>
                <w:rtl/>
              </w:rPr>
              <w:t>صاحب الصلاحية</w:t>
            </w:r>
            <w:r>
              <w:rPr>
                <w:sz w:val="17"/>
                <w:rtl/>
              </w:rPr>
              <w:t>]</w:t>
            </w:r>
          </w:p>
        </w:tc>
      </w:tr>
    </w:tbl>
    <w:p w:rsidR="004B456F" w:rsidRDefault="004B456F" w:rsidP="00DD0B97">
      <w:pPr>
        <w:spacing w:after="0"/>
        <w:jc w:val="left"/>
        <w:rPr>
          <w:rFonts w:hint="eastAsia"/>
        </w:rPr>
      </w:pPr>
    </w:p>
    <w:p w:rsidR="004B456F" w:rsidRDefault="009813CB" w:rsidP="00DD0B97">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ج</w:t>
      </w:r>
      <w:r>
        <w:rPr>
          <w:rFonts w:ascii="DejaVu Sans" w:hAnsi="DejaVu Sans" w:cs="DejaVu Sans"/>
          <w:rtl/>
        </w:rPr>
        <w:t xml:space="preserve">): </w:t>
      </w:r>
      <w:r>
        <w:rPr>
          <w:rFonts w:ascii="DejaVu Sans" w:hAnsi="DejaVu Sans" w:cs="Times New Roman"/>
          <w:rtl/>
        </w:rPr>
        <w:t>قائمة التحقق قبل اعتماد المسير</w:t>
      </w:r>
    </w:p>
    <w:p w:rsidR="004B456F" w:rsidRDefault="009813CB" w:rsidP="00DD0B97">
      <w:pPr>
        <w:numPr>
          <w:ilvl w:val="0"/>
          <w:numId w:val="1"/>
        </w:numPr>
        <w:jc w:val="left"/>
        <w:rPr>
          <w:rFonts w:hint="eastAsia"/>
        </w:rPr>
      </w:pPr>
      <w:r>
        <w:rPr>
          <w:rFonts w:cs="Times New Roman"/>
          <w:rtl/>
        </w:rPr>
        <w:t xml:space="preserve">مطابقة الموظفين </w:t>
      </w:r>
      <w:r>
        <w:rPr>
          <w:rFonts w:cs="Times New Roman"/>
          <w:rtl/>
        </w:rPr>
        <w:t>النشطين والمنضمين والمنتهية خدماتهم مع الفترة</w:t>
      </w:r>
      <w:r>
        <w:rPr>
          <w:rtl/>
        </w:rPr>
        <w:t>.</w:t>
      </w:r>
    </w:p>
    <w:p w:rsidR="004B456F" w:rsidRDefault="009813CB" w:rsidP="00DD0B97">
      <w:pPr>
        <w:numPr>
          <w:ilvl w:val="0"/>
          <w:numId w:val="1"/>
        </w:numPr>
        <w:jc w:val="left"/>
        <w:rPr>
          <w:rFonts w:hint="eastAsia"/>
        </w:rPr>
      </w:pPr>
      <w:r>
        <w:rPr>
          <w:rFonts w:cs="Times New Roman"/>
          <w:rtl/>
        </w:rPr>
        <w:t>مطابقة الرواتب والبدلات والتغييرات مع العقود والقرارات وتواريخ السريان</w:t>
      </w:r>
      <w:r>
        <w:rPr>
          <w:rtl/>
        </w:rPr>
        <w:t>.</w:t>
      </w:r>
    </w:p>
    <w:p w:rsidR="004B456F" w:rsidRDefault="009813CB" w:rsidP="00DD0B97">
      <w:pPr>
        <w:numPr>
          <w:ilvl w:val="0"/>
          <w:numId w:val="1"/>
        </w:numPr>
        <w:jc w:val="left"/>
        <w:rPr>
          <w:rFonts w:hint="eastAsia"/>
        </w:rPr>
      </w:pPr>
      <w:r>
        <w:rPr>
          <w:rFonts w:cs="Times New Roman"/>
          <w:rtl/>
        </w:rPr>
        <w:t>مراجعة الحضور والإجازات والعمل الإضافي والحوافز والعمولات</w:t>
      </w:r>
      <w:r>
        <w:rPr>
          <w:rtl/>
        </w:rPr>
        <w:t>.</w:t>
      </w:r>
    </w:p>
    <w:p w:rsidR="004B456F" w:rsidRDefault="009813CB" w:rsidP="00DD0B97">
      <w:pPr>
        <w:numPr>
          <w:ilvl w:val="0"/>
          <w:numId w:val="1"/>
        </w:numPr>
        <w:jc w:val="left"/>
        <w:rPr>
          <w:rFonts w:hint="eastAsia"/>
        </w:rPr>
      </w:pPr>
      <w:r>
        <w:rPr>
          <w:rFonts w:cs="Times New Roman"/>
          <w:rtl/>
        </w:rPr>
        <w:t>التحقق من التأمينات والسلف والاستقطاعات والأحكام والحدود النظامية</w:t>
      </w:r>
      <w:r>
        <w:rPr>
          <w:rtl/>
        </w:rPr>
        <w:t>.</w:t>
      </w:r>
    </w:p>
    <w:p w:rsidR="004B456F" w:rsidRDefault="009813CB" w:rsidP="00DD0B97">
      <w:pPr>
        <w:numPr>
          <w:ilvl w:val="0"/>
          <w:numId w:val="1"/>
        </w:numPr>
        <w:jc w:val="left"/>
        <w:rPr>
          <w:rFonts w:hint="eastAsia"/>
        </w:rPr>
      </w:pPr>
      <w:r>
        <w:rPr>
          <w:rFonts w:cs="Times New Roman"/>
          <w:rtl/>
        </w:rPr>
        <w:t>مقارنة المس</w:t>
      </w:r>
      <w:r>
        <w:rPr>
          <w:rFonts w:cs="Times New Roman"/>
          <w:rtl/>
        </w:rPr>
        <w:t>ير بالشهر السابق وتحليل الفروقات الكبيرة أو غير المعتادة</w:t>
      </w:r>
      <w:r>
        <w:rPr>
          <w:rtl/>
        </w:rPr>
        <w:t>.</w:t>
      </w:r>
    </w:p>
    <w:p w:rsidR="004B456F" w:rsidRDefault="009813CB" w:rsidP="00DD0B97">
      <w:pPr>
        <w:numPr>
          <w:ilvl w:val="0"/>
          <w:numId w:val="1"/>
        </w:numPr>
        <w:jc w:val="left"/>
        <w:rPr>
          <w:rFonts w:hint="eastAsia"/>
        </w:rPr>
      </w:pPr>
      <w:r>
        <w:rPr>
          <w:rFonts w:cs="Times New Roman"/>
          <w:rtl/>
        </w:rPr>
        <w:t>مطابقة إجمالي المسير مع ملف البنك والقيد المحاسبي وملف حماية الأجور</w:t>
      </w:r>
      <w:r>
        <w:rPr>
          <w:rtl/>
        </w:rPr>
        <w:t>.</w:t>
      </w:r>
    </w:p>
    <w:p w:rsidR="004B456F" w:rsidRDefault="009813CB" w:rsidP="00DD0B97">
      <w:pPr>
        <w:numPr>
          <w:ilvl w:val="0"/>
          <w:numId w:val="1"/>
        </w:numPr>
        <w:jc w:val="left"/>
        <w:rPr>
          <w:rFonts w:hint="eastAsia"/>
        </w:rPr>
      </w:pPr>
      <w:r>
        <w:rPr>
          <w:rFonts w:cs="Times New Roman"/>
          <w:rtl/>
        </w:rPr>
        <w:t>اختبار عينة من صافي الأجر وبيانات الحساب ومنع التكرار وفصل الصلاحيات</w:t>
      </w:r>
      <w:r>
        <w:rPr>
          <w:rtl/>
        </w:rPr>
        <w:t>.</w:t>
      </w:r>
    </w:p>
    <w:p w:rsidR="004B456F" w:rsidRDefault="009813CB" w:rsidP="00DD0B97">
      <w:pPr>
        <w:numPr>
          <w:ilvl w:val="0"/>
          <w:numId w:val="1"/>
        </w:numPr>
        <w:jc w:val="left"/>
        <w:rPr>
          <w:rFonts w:hint="eastAsia"/>
        </w:rPr>
      </w:pPr>
      <w:r>
        <w:rPr>
          <w:rFonts w:cs="Times New Roman"/>
          <w:rtl/>
        </w:rPr>
        <w:t xml:space="preserve">توثيق الاعتماد والرفض البنكي والتصحيحات وإصدار بيانات </w:t>
      </w:r>
      <w:r>
        <w:rPr>
          <w:rFonts w:cs="Times New Roman"/>
          <w:rtl/>
        </w:rPr>
        <w:t>الرواتب</w:t>
      </w:r>
      <w:r>
        <w:rPr>
          <w:rtl/>
        </w:rPr>
        <w:t>.</w:t>
      </w:r>
    </w:p>
    <w:p w:rsidR="004B456F" w:rsidRDefault="009813CB" w:rsidP="00DD0B97">
      <w:pPr>
        <w:pStyle w:val="1"/>
        <w:tabs>
          <w:tab w:val="center" w:pos="4896"/>
        </w:tabs>
        <w:jc w:val="left"/>
      </w:pPr>
      <w:r>
        <w:rPr>
          <w:rFonts w:ascii="DejaVu Sans" w:hAnsi="DejaVu Sans" w:cs="Times New Roman"/>
          <w:rtl/>
        </w:rPr>
        <w:lastRenderedPageBreak/>
        <w:t xml:space="preserve">ملحق </w:t>
      </w:r>
      <w:r>
        <w:rPr>
          <w:rFonts w:ascii="DejaVu Sans" w:hAnsi="DejaVu Sans" w:cs="DejaVu Sans"/>
          <w:rtl/>
        </w:rPr>
        <w:t>(</w:t>
      </w:r>
      <w:r>
        <w:rPr>
          <w:rFonts w:ascii="DejaVu Sans" w:hAnsi="DejaVu Sans" w:cs="Times New Roman"/>
          <w:rtl/>
        </w:rPr>
        <w:t>د</w:t>
      </w:r>
      <w:r>
        <w:rPr>
          <w:rFonts w:ascii="DejaVu Sans" w:hAnsi="DejaVu Sans" w:cs="DejaVu Sans"/>
          <w:rtl/>
        </w:rPr>
        <w:t xml:space="preserve">): </w:t>
      </w:r>
      <w:r>
        <w:rPr>
          <w:rFonts w:ascii="DejaVu Sans" w:hAnsi="DejaVu Sans" w:cs="Times New Roman"/>
          <w:rtl/>
        </w:rPr>
        <w:t>سجل الاعتماد والتعديلات</w:t>
      </w:r>
      <w:r w:rsidR="00DD0B97">
        <w:rPr>
          <w:rFonts w:ascii="DejaVu Sans" w:hAnsi="DejaVu Sans" w:cs="Times New Roman" w:hint="eastAsia"/>
          <w:rtl/>
        </w:rPr>
        <w:tab/>
      </w:r>
    </w:p>
    <w:tbl>
      <w:tblPr>
        <w:tblStyle w:val="afa"/>
        <w:tblW w:w="9360" w:type="dxa"/>
        <w:jc w:val="center"/>
        <w:tblLayout w:type="fixed"/>
        <w:tblLook w:val="04A0" w:firstRow="1" w:lastRow="0" w:firstColumn="1" w:lastColumn="0" w:noHBand="0" w:noVBand="1"/>
      </w:tblPr>
      <w:tblGrid>
        <w:gridCol w:w="1000"/>
        <w:gridCol w:w="1500"/>
        <w:gridCol w:w="3300"/>
        <w:gridCol w:w="1780"/>
        <w:gridCol w:w="1780"/>
      </w:tblGrid>
      <w:tr w:rsidR="004B456F">
        <w:trPr>
          <w:tblHeader/>
          <w:jc w:val="center"/>
        </w:trPr>
        <w:tc>
          <w:tcPr>
            <w:tcW w:w="10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الإصدار</w:t>
            </w:r>
          </w:p>
        </w:tc>
        <w:tc>
          <w:tcPr>
            <w:tcW w:w="15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التاريخ</w:t>
            </w:r>
          </w:p>
        </w:tc>
        <w:tc>
          <w:tcPr>
            <w:tcW w:w="330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وصف التعديل</w:t>
            </w:r>
          </w:p>
        </w:tc>
        <w:tc>
          <w:tcPr>
            <w:tcW w:w="178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أعدها</w:t>
            </w:r>
          </w:p>
        </w:tc>
        <w:tc>
          <w:tcPr>
            <w:tcW w:w="1780" w:type="dxa"/>
            <w:shd w:val="clear" w:color="auto" w:fill="17243A"/>
            <w:tcMar>
              <w:top w:w="100" w:type="dxa"/>
              <w:left w:w="130" w:type="dxa"/>
              <w:bottom w:w="100" w:type="dxa"/>
              <w:right w:w="130" w:type="dxa"/>
            </w:tcMar>
            <w:vAlign w:val="center"/>
          </w:tcPr>
          <w:p w:rsidR="004B456F" w:rsidRDefault="009813CB" w:rsidP="00DD0B97">
            <w:pPr>
              <w:spacing w:after="0"/>
              <w:jc w:val="left"/>
              <w:rPr>
                <w:rFonts w:hint="eastAsia"/>
              </w:rPr>
            </w:pPr>
            <w:r>
              <w:rPr>
                <w:rFonts w:cs="Times New Roman"/>
                <w:b/>
                <w:color w:val="FFFFFF"/>
                <w:sz w:val="18"/>
                <w:rtl/>
              </w:rPr>
              <w:t>اعتمدها</w:t>
            </w:r>
          </w:p>
        </w:tc>
      </w:tr>
      <w:tr w:rsidR="004B456F">
        <w:trPr>
          <w:jc w:val="center"/>
        </w:trPr>
        <w:tc>
          <w:tcPr>
            <w:tcW w:w="10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1.0</w:t>
            </w:r>
          </w:p>
        </w:tc>
        <w:tc>
          <w:tcPr>
            <w:tcW w:w="15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التاريخ</w:t>
            </w:r>
            <w:r>
              <w:rPr>
                <w:sz w:val="18"/>
                <w:rtl/>
              </w:rPr>
              <w:t>]</w:t>
            </w:r>
          </w:p>
        </w:tc>
        <w:tc>
          <w:tcPr>
            <w:tcW w:w="330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rFonts w:cs="Times New Roman"/>
                <w:sz w:val="18"/>
                <w:rtl/>
              </w:rPr>
              <w:t>إصدار أول</w:t>
            </w:r>
          </w:p>
        </w:tc>
        <w:tc>
          <w:tcPr>
            <w:tcW w:w="178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الاسم</w:t>
            </w:r>
            <w:r>
              <w:rPr>
                <w:sz w:val="18"/>
                <w:rtl/>
              </w:rPr>
              <w:t>/</w:t>
            </w:r>
            <w:r>
              <w:rPr>
                <w:rFonts w:cs="Times New Roman"/>
                <w:sz w:val="18"/>
                <w:rtl/>
              </w:rPr>
              <w:t>المسمى</w:t>
            </w:r>
            <w:r>
              <w:rPr>
                <w:sz w:val="18"/>
                <w:rtl/>
              </w:rPr>
              <w:t>]</w:t>
            </w:r>
          </w:p>
        </w:tc>
        <w:tc>
          <w:tcPr>
            <w:tcW w:w="1780" w:type="dxa"/>
            <w:tcMar>
              <w:top w:w="100" w:type="dxa"/>
              <w:left w:w="130" w:type="dxa"/>
              <w:bottom w:w="100" w:type="dxa"/>
              <w:right w:w="130" w:type="dxa"/>
            </w:tcMar>
            <w:vAlign w:val="center"/>
          </w:tcPr>
          <w:p w:rsidR="004B456F" w:rsidRDefault="009813CB" w:rsidP="00DD0B97">
            <w:pPr>
              <w:spacing w:after="0" w:line="276" w:lineRule="auto"/>
              <w:jc w:val="left"/>
              <w:rPr>
                <w:rFonts w:hint="eastAsia"/>
              </w:rPr>
            </w:pPr>
            <w:r>
              <w:rPr>
                <w:sz w:val="18"/>
                <w:rtl/>
              </w:rPr>
              <w:t>[</w:t>
            </w:r>
            <w:r>
              <w:rPr>
                <w:rFonts w:cs="Times New Roman"/>
                <w:sz w:val="18"/>
                <w:rtl/>
              </w:rPr>
              <w:t>الاسم</w:t>
            </w:r>
            <w:r>
              <w:rPr>
                <w:sz w:val="18"/>
                <w:rtl/>
              </w:rPr>
              <w:t>/</w:t>
            </w:r>
            <w:r>
              <w:rPr>
                <w:rFonts w:cs="Times New Roman"/>
                <w:sz w:val="18"/>
                <w:rtl/>
              </w:rPr>
              <w:t>المسمى</w:t>
            </w:r>
            <w:r>
              <w:rPr>
                <w:sz w:val="18"/>
                <w:rtl/>
              </w:rPr>
              <w:t>]</w:t>
            </w:r>
          </w:p>
        </w:tc>
      </w:tr>
      <w:tr w:rsidR="004B456F">
        <w:trPr>
          <w:jc w:val="center"/>
        </w:trPr>
        <w:tc>
          <w:tcPr>
            <w:tcW w:w="1000" w:type="dxa"/>
            <w:tcMar>
              <w:top w:w="100" w:type="dxa"/>
              <w:left w:w="130" w:type="dxa"/>
              <w:bottom w:w="100" w:type="dxa"/>
              <w:right w:w="130" w:type="dxa"/>
            </w:tcMar>
            <w:vAlign w:val="center"/>
          </w:tcPr>
          <w:p w:rsidR="004B456F" w:rsidRDefault="004B456F" w:rsidP="00DD0B97">
            <w:pPr>
              <w:spacing w:after="0" w:line="276" w:lineRule="auto"/>
              <w:jc w:val="left"/>
              <w:rPr>
                <w:rFonts w:hint="eastAsia"/>
              </w:rPr>
            </w:pPr>
          </w:p>
        </w:tc>
        <w:tc>
          <w:tcPr>
            <w:tcW w:w="1500" w:type="dxa"/>
            <w:tcMar>
              <w:top w:w="100" w:type="dxa"/>
              <w:left w:w="130" w:type="dxa"/>
              <w:bottom w:w="100" w:type="dxa"/>
              <w:right w:w="130" w:type="dxa"/>
            </w:tcMar>
            <w:vAlign w:val="center"/>
          </w:tcPr>
          <w:p w:rsidR="004B456F" w:rsidRDefault="004B456F" w:rsidP="00DD0B97">
            <w:pPr>
              <w:spacing w:after="0" w:line="276" w:lineRule="auto"/>
              <w:jc w:val="left"/>
              <w:rPr>
                <w:rFonts w:hint="eastAsia"/>
              </w:rPr>
            </w:pPr>
          </w:p>
        </w:tc>
        <w:tc>
          <w:tcPr>
            <w:tcW w:w="3300" w:type="dxa"/>
            <w:tcMar>
              <w:top w:w="100" w:type="dxa"/>
              <w:left w:w="130" w:type="dxa"/>
              <w:bottom w:w="100" w:type="dxa"/>
              <w:right w:w="130" w:type="dxa"/>
            </w:tcMar>
            <w:vAlign w:val="center"/>
          </w:tcPr>
          <w:p w:rsidR="004B456F" w:rsidRDefault="004B456F" w:rsidP="00DD0B97">
            <w:pPr>
              <w:spacing w:after="0" w:line="276" w:lineRule="auto"/>
              <w:jc w:val="left"/>
              <w:rPr>
                <w:rFonts w:hint="eastAsia"/>
              </w:rPr>
            </w:pPr>
          </w:p>
        </w:tc>
        <w:tc>
          <w:tcPr>
            <w:tcW w:w="1780" w:type="dxa"/>
            <w:tcMar>
              <w:top w:w="100" w:type="dxa"/>
              <w:left w:w="130" w:type="dxa"/>
              <w:bottom w:w="100" w:type="dxa"/>
              <w:right w:w="130" w:type="dxa"/>
            </w:tcMar>
            <w:vAlign w:val="center"/>
          </w:tcPr>
          <w:p w:rsidR="004B456F" w:rsidRDefault="004B456F" w:rsidP="00DD0B97">
            <w:pPr>
              <w:spacing w:after="0" w:line="276" w:lineRule="auto"/>
              <w:jc w:val="left"/>
              <w:rPr>
                <w:rFonts w:hint="eastAsia"/>
              </w:rPr>
            </w:pPr>
          </w:p>
        </w:tc>
        <w:tc>
          <w:tcPr>
            <w:tcW w:w="1780" w:type="dxa"/>
            <w:tcMar>
              <w:top w:w="100" w:type="dxa"/>
              <w:left w:w="130" w:type="dxa"/>
              <w:bottom w:w="100" w:type="dxa"/>
              <w:right w:w="130" w:type="dxa"/>
            </w:tcMar>
            <w:vAlign w:val="center"/>
          </w:tcPr>
          <w:p w:rsidR="004B456F" w:rsidRDefault="004B456F" w:rsidP="00DD0B97">
            <w:pPr>
              <w:spacing w:after="0" w:line="276" w:lineRule="auto"/>
              <w:jc w:val="left"/>
              <w:rPr>
                <w:rFonts w:hint="eastAsia"/>
              </w:rPr>
            </w:pPr>
          </w:p>
        </w:tc>
      </w:tr>
    </w:tbl>
    <w:p w:rsidR="004B456F" w:rsidRDefault="004B456F" w:rsidP="00DD0B97">
      <w:pPr>
        <w:spacing w:after="0"/>
        <w:jc w:val="left"/>
        <w:rPr>
          <w:rFonts w:hint="eastAsia"/>
        </w:rPr>
      </w:pPr>
    </w:p>
    <w:p w:rsidR="004B456F" w:rsidRDefault="009813CB" w:rsidP="00DD0B97">
      <w:pPr>
        <w:pStyle w:val="2"/>
        <w:jc w:val="left"/>
      </w:pPr>
      <w:r>
        <w:rPr>
          <w:rFonts w:ascii="DejaVu Sans" w:hAnsi="DejaVu Sans" w:cs="Times New Roman"/>
          <w:rtl/>
        </w:rPr>
        <w:t>المراجع النظامية</w:t>
      </w:r>
    </w:p>
    <w:p w:rsidR="004B456F" w:rsidRDefault="009813CB" w:rsidP="00DD0B97">
      <w:pPr>
        <w:spacing w:after="80"/>
        <w:jc w:val="left"/>
        <w:rPr>
          <w:rFonts w:hint="eastAsia"/>
        </w:rPr>
      </w:pPr>
      <w:r>
        <w:rPr>
          <w:color w:val="667085"/>
          <w:sz w:val="18"/>
          <w:rtl/>
        </w:rPr>
        <w:t xml:space="preserve">1. </w:t>
      </w:r>
      <w:r>
        <w:rPr>
          <w:rFonts w:cs="Times New Roman"/>
          <w:color w:val="667085"/>
          <w:sz w:val="18"/>
          <w:rtl/>
        </w:rPr>
        <w:t xml:space="preserve">نظام العمل السعودي </w:t>
      </w:r>
      <w:r>
        <w:rPr>
          <w:color w:val="667085"/>
          <w:sz w:val="18"/>
          <w:rtl/>
        </w:rPr>
        <w:t xml:space="preserve">- </w:t>
      </w:r>
      <w:r>
        <w:rPr>
          <w:rFonts w:cs="Times New Roman"/>
          <w:color w:val="667085"/>
          <w:sz w:val="18"/>
          <w:rtl/>
        </w:rPr>
        <w:t>وزارة الموارد البشرية والتنمية الاجتماعية</w:t>
      </w:r>
      <w:r>
        <w:rPr>
          <w:color w:val="667085"/>
          <w:sz w:val="18"/>
          <w:rtl/>
        </w:rPr>
        <w:t xml:space="preserve">: </w:t>
      </w:r>
      <w:hyperlink r:id="rId8">
        <w:r>
          <w:rPr>
            <w:rFonts w:cs="Times New Roman"/>
            <w:color w:val="1769AA"/>
            <w:sz w:val="19"/>
            <w:u w:val="single"/>
            <w:rtl/>
          </w:rPr>
          <w:t>عرض النظام</w:t>
        </w:r>
      </w:hyperlink>
    </w:p>
    <w:p w:rsidR="004B456F" w:rsidRDefault="009813CB" w:rsidP="00DD0B97">
      <w:pPr>
        <w:spacing w:after="80"/>
        <w:jc w:val="left"/>
        <w:rPr>
          <w:rFonts w:hint="eastAsia"/>
        </w:rPr>
      </w:pPr>
      <w:r>
        <w:rPr>
          <w:color w:val="667085"/>
          <w:sz w:val="18"/>
          <w:rtl/>
        </w:rPr>
        <w:t xml:space="preserve">2. </w:t>
      </w:r>
      <w:r>
        <w:rPr>
          <w:rFonts w:cs="Times New Roman"/>
          <w:color w:val="667085"/>
          <w:sz w:val="18"/>
          <w:rtl/>
        </w:rPr>
        <w:t>اللائحة التنفيذية لنظام العمل وملحقاتها</w:t>
      </w:r>
      <w:r>
        <w:rPr>
          <w:color w:val="667085"/>
          <w:sz w:val="18"/>
          <w:rtl/>
        </w:rPr>
        <w:t xml:space="preserve">: </w:t>
      </w:r>
      <w:hyperlink r:id="rId9">
        <w:r>
          <w:rPr>
            <w:rFonts w:cs="Times New Roman"/>
            <w:color w:val="1769AA"/>
            <w:sz w:val="19"/>
            <w:u w:val="single"/>
            <w:rtl/>
          </w:rPr>
          <w:t>عرض اللائحة</w:t>
        </w:r>
      </w:hyperlink>
    </w:p>
    <w:p w:rsidR="004B456F" w:rsidRDefault="009813CB" w:rsidP="00DD0B97">
      <w:pPr>
        <w:spacing w:after="80"/>
        <w:jc w:val="left"/>
        <w:rPr>
          <w:rFonts w:hint="eastAsia"/>
        </w:rPr>
      </w:pPr>
      <w:r>
        <w:rPr>
          <w:color w:val="667085"/>
          <w:sz w:val="18"/>
          <w:rtl/>
        </w:rPr>
        <w:t xml:space="preserve">3. </w:t>
      </w:r>
      <w:r>
        <w:rPr>
          <w:rFonts w:cs="Times New Roman"/>
          <w:color w:val="667085"/>
          <w:sz w:val="18"/>
          <w:rtl/>
        </w:rPr>
        <w:t xml:space="preserve">برنامج حماية الأجور </w:t>
      </w:r>
      <w:r>
        <w:rPr>
          <w:color w:val="667085"/>
          <w:sz w:val="18"/>
          <w:rtl/>
        </w:rPr>
        <w:t xml:space="preserve">- </w:t>
      </w:r>
      <w:r>
        <w:rPr>
          <w:rFonts w:cs="Times New Roman"/>
          <w:color w:val="667085"/>
          <w:sz w:val="18"/>
          <w:rtl/>
        </w:rPr>
        <w:t>وزارة الموارد البشرية والتنمية الاجتماعية</w:t>
      </w:r>
      <w:r>
        <w:rPr>
          <w:color w:val="667085"/>
          <w:sz w:val="18"/>
          <w:rtl/>
        </w:rPr>
        <w:t xml:space="preserve">: </w:t>
      </w:r>
      <w:hyperlink r:id="rId10">
        <w:r>
          <w:rPr>
            <w:rFonts w:cs="Times New Roman"/>
            <w:color w:val="1769AA"/>
            <w:sz w:val="19"/>
            <w:u w:val="single"/>
            <w:rtl/>
          </w:rPr>
          <w:t>عرض البرنامج</w:t>
        </w:r>
      </w:hyperlink>
    </w:p>
    <w:p w:rsidR="004B456F" w:rsidRDefault="009813CB" w:rsidP="00DD0B97">
      <w:pPr>
        <w:spacing w:after="80"/>
        <w:jc w:val="left"/>
        <w:rPr>
          <w:rFonts w:hint="eastAsia"/>
        </w:rPr>
      </w:pPr>
      <w:r>
        <w:rPr>
          <w:color w:val="667085"/>
          <w:sz w:val="18"/>
          <w:rtl/>
        </w:rPr>
        <w:t xml:space="preserve">4. </w:t>
      </w:r>
      <w:r>
        <w:rPr>
          <w:rFonts w:cs="Times New Roman"/>
          <w:color w:val="667085"/>
          <w:sz w:val="18"/>
          <w:rtl/>
        </w:rPr>
        <w:t xml:space="preserve">التأمينات الاجتماعية </w:t>
      </w:r>
      <w:r>
        <w:rPr>
          <w:color w:val="667085"/>
          <w:sz w:val="18"/>
          <w:rtl/>
        </w:rPr>
        <w:t xml:space="preserve">- </w:t>
      </w:r>
      <w:r>
        <w:rPr>
          <w:rFonts w:cs="Times New Roman"/>
          <w:color w:val="667085"/>
          <w:sz w:val="18"/>
          <w:rtl/>
        </w:rPr>
        <w:t>عناصر الأجر الخاضع للاشتراك</w:t>
      </w:r>
      <w:r>
        <w:rPr>
          <w:color w:val="667085"/>
          <w:sz w:val="18"/>
          <w:rtl/>
        </w:rPr>
        <w:t xml:space="preserve">: </w:t>
      </w:r>
      <w:hyperlink r:id="rId11">
        <w:r>
          <w:rPr>
            <w:rFonts w:cs="Times New Roman"/>
            <w:color w:val="1769AA"/>
            <w:sz w:val="19"/>
            <w:u w:val="single"/>
            <w:rtl/>
          </w:rPr>
          <w:t>عرض الدليل</w:t>
        </w:r>
      </w:hyperlink>
    </w:p>
    <w:p w:rsidR="004B456F" w:rsidRDefault="009813CB" w:rsidP="00DD0B97">
      <w:pPr>
        <w:spacing w:after="80"/>
        <w:jc w:val="left"/>
        <w:rPr>
          <w:rFonts w:hint="eastAsia"/>
        </w:rPr>
      </w:pPr>
      <w:r>
        <w:rPr>
          <w:color w:val="667085"/>
          <w:sz w:val="18"/>
          <w:rtl/>
        </w:rPr>
        <w:t xml:space="preserve">5. </w:t>
      </w:r>
      <w:r>
        <w:rPr>
          <w:rFonts w:cs="Times New Roman"/>
          <w:color w:val="667085"/>
          <w:sz w:val="18"/>
          <w:rtl/>
        </w:rPr>
        <w:t xml:space="preserve">نظام حماية البيانات الشخصية والأدلة الإرشادية </w:t>
      </w:r>
      <w:r>
        <w:rPr>
          <w:color w:val="667085"/>
          <w:sz w:val="18"/>
          <w:rtl/>
        </w:rPr>
        <w:t xml:space="preserve">- </w:t>
      </w:r>
      <w:r>
        <w:rPr>
          <w:rFonts w:cs="Times New Roman"/>
          <w:color w:val="667085"/>
          <w:sz w:val="18"/>
          <w:rtl/>
        </w:rPr>
        <w:t>سدايا</w:t>
      </w:r>
      <w:r>
        <w:rPr>
          <w:color w:val="667085"/>
          <w:sz w:val="18"/>
          <w:rtl/>
        </w:rPr>
        <w:t xml:space="preserve">: </w:t>
      </w:r>
      <w:hyperlink r:id="rId12">
        <w:r>
          <w:rPr>
            <w:rFonts w:cs="Times New Roman"/>
            <w:color w:val="1769AA"/>
            <w:sz w:val="19"/>
            <w:u w:val="single"/>
            <w:rtl/>
          </w:rPr>
          <w:t>عرض بوابة حماية البيانات</w:t>
        </w:r>
      </w:hyperlink>
    </w:p>
    <w:p w:rsidR="004B456F" w:rsidRDefault="009813CB" w:rsidP="00DD0B97">
      <w:pPr>
        <w:spacing w:before="100" w:after="0"/>
        <w:jc w:val="left"/>
        <w:rPr>
          <w:rFonts w:hint="eastAsia"/>
        </w:rPr>
      </w:pPr>
      <w:r>
        <w:rPr>
          <w:rFonts w:cs="Times New Roman"/>
          <w:color w:val="667085"/>
          <w:sz w:val="17"/>
          <w:rtl/>
        </w:rPr>
        <w:t>آخر تحقق للمراجع</w:t>
      </w:r>
      <w:r>
        <w:rPr>
          <w:color w:val="667085"/>
          <w:sz w:val="17"/>
          <w:rtl/>
        </w:rPr>
        <w:t xml:space="preserve">: 9 </w:t>
      </w:r>
      <w:r>
        <w:rPr>
          <w:rFonts w:cs="Times New Roman"/>
          <w:color w:val="667085"/>
          <w:sz w:val="17"/>
          <w:rtl/>
        </w:rPr>
        <w:t xml:space="preserve">أغسطس </w:t>
      </w:r>
      <w:r>
        <w:rPr>
          <w:color w:val="667085"/>
          <w:sz w:val="17"/>
          <w:rtl/>
        </w:rPr>
        <w:t>2026.</w:t>
      </w:r>
    </w:p>
    <w:sectPr w:rsidR="004B456F" w:rsidSect="00034616">
      <w:headerReference w:type="default" r:id="rId13"/>
      <w:footerReference w:type="default" r:id="rId14"/>
      <w:pgSz w:w="12240" w:h="15840"/>
      <w:pgMar w:top="1080" w:right="1224" w:bottom="1080" w:left="1224" w:header="504" w:footer="504" w:gutter="0"/>
      <w:cols w:space="720"/>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3CB" w:rsidRDefault="009813CB">
      <w:pPr>
        <w:spacing w:after="0" w:line="240" w:lineRule="auto"/>
        <w:rPr>
          <w:rFonts w:hint="eastAsia"/>
        </w:rPr>
      </w:pPr>
      <w:r>
        <w:separator/>
      </w:r>
    </w:p>
  </w:endnote>
  <w:endnote w:type="continuationSeparator" w:id="0">
    <w:p w:rsidR="009813CB" w:rsidRDefault="009813C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DejaVu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6F" w:rsidRDefault="009813CB">
    <w:pPr>
      <w:pStyle w:val="a5"/>
      <w:jc w:val="center"/>
      <w:rPr>
        <w:rFonts w:hint="eastAsia"/>
      </w:rPr>
    </w:pPr>
    <w:r>
      <w:rPr>
        <w:rFonts w:cs="Times New Roman"/>
        <w:color w:val="667085"/>
        <w:sz w:val="17"/>
        <w:rtl/>
      </w:rPr>
      <w:t xml:space="preserve">صفحة </w:t>
    </w:r>
    <w:r>
      <w:rPr>
        <w:color w:val="667085"/>
        <w:sz w:val="17"/>
        <w:rtl/>
      </w:rPr>
      <w:fldChar w:fldCharType="begin"/>
    </w:r>
    <w:r>
      <w:rPr>
        <w:color w:val="667085"/>
        <w:sz w:val="17"/>
        <w:rtl/>
      </w:rPr>
      <w:instrText xml:space="preserve"> PAGE </w:instrText>
    </w:r>
    <w:r w:rsidR="00DD0B97">
      <w:rPr>
        <w:rFonts w:hint="eastAsia"/>
        <w:color w:val="667085"/>
        <w:sz w:val="17"/>
        <w:rtl/>
      </w:rPr>
      <w:fldChar w:fldCharType="separate"/>
    </w:r>
    <w:r w:rsidR="00DD0B97">
      <w:rPr>
        <w:rFonts w:hint="eastAsia"/>
        <w:noProof/>
        <w:color w:val="667085"/>
        <w:sz w:val="17"/>
        <w:rtl/>
      </w:rPr>
      <w:t>12</w:t>
    </w:r>
    <w:r>
      <w:rPr>
        <w:color w:val="667085"/>
        <w:sz w:val="17"/>
        <w:rt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3CB" w:rsidRDefault="009813CB">
      <w:pPr>
        <w:spacing w:after="0" w:line="240" w:lineRule="auto"/>
        <w:rPr>
          <w:rFonts w:hint="eastAsia"/>
        </w:rPr>
      </w:pPr>
      <w:r>
        <w:separator/>
      </w:r>
    </w:p>
  </w:footnote>
  <w:footnote w:type="continuationSeparator" w:id="0">
    <w:p w:rsidR="009813CB" w:rsidRDefault="009813C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6F" w:rsidRDefault="009813CB">
    <w:pPr>
      <w:pStyle w:val="a4"/>
      <w:rPr>
        <w:rFonts w:hint="eastAsia"/>
      </w:rPr>
    </w:pPr>
    <w:r>
      <w:rPr>
        <w:rFonts w:cs="Times New Roman"/>
        <w:b/>
        <w:color w:val="087F5B"/>
        <w:sz w:val="17"/>
        <w:rtl/>
      </w:rPr>
      <w:t xml:space="preserve">مجد </w:t>
    </w:r>
    <w:r>
      <w:rPr>
        <w:b/>
        <w:color w:val="087F5B"/>
        <w:sz w:val="17"/>
        <w:rtl/>
      </w:rPr>
      <w:t xml:space="preserve">| </w:t>
    </w:r>
    <w:r>
      <w:rPr>
        <w:rFonts w:cs="Times New Roman"/>
        <w:b/>
        <w:color w:val="087F5B"/>
        <w:sz w:val="17"/>
        <w:rtl/>
      </w:rPr>
      <w:t>نموذج سياسة الأجور والتعويضات</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E639B2"/>
    <w:multiLevelType w:val="singleLevel"/>
    <w:tmpl w:val="54E8D8EC"/>
    <w:lvl w:ilvl="0">
      <w:start w:val="1"/>
      <w:numFmt w:val="decimal"/>
      <w:pStyle w:val="a"/>
      <w:lvlText w:val="%1."/>
      <w:lvlJc w:val="right"/>
      <w:pPr>
        <w:tabs>
          <w:tab w:val="num" w:pos="540"/>
        </w:tabs>
        <w:spacing w:after="80" w:line="300" w:lineRule="auto"/>
        <w:ind w:right="540" w:hanging="270"/>
      </w:pPr>
    </w:lvl>
  </w:abstractNum>
  <w:abstractNum w:abstractNumId="10" w15:restartNumberingAfterBreak="0">
    <w:nsid w:val="0F7A753F"/>
    <w:multiLevelType w:val="singleLevel"/>
    <w:tmpl w:val="98EAF142"/>
    <w:lvl w:ilvl="0">
      <w:start w:val="1"/>
      <w:numFmt w:val="bullet"/>
      <w:lvlText w:val="•"/>
      <w:lvlJc w:val="right"/>
      <w:pPr>
        <w:tabs>
          <w:tab w:val="num" w:pos="540"/>
        </w:tabs>
        <w:spacing w:after="80" w:line="300" w:lineRule="auto"/>
        <w:ind w:right="540" w:hanging="270"/>
      </w:pPr>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B456F"/>
    <w:rsid w:val="009813CB"/>
    <w:rsid w:val="00AA1D8D"/>
    <w:rsid w:val="00B47730"/>
    <w:rsid w:val="00CB0664"/>
    <w:rsid w:val="00DD0B97"/>
    <w:rsid w:val="00FC693F"/>
  </w:rsids>
  <m:mathPr>
    <m:mathFont m:val="Cambria Math"/>
    <m:brkBin m:val="before"/>
    <m:brkBinSub m:val="--"/>
    <m:smallFrac m:val="0"/>
    <m:dispDef/>
    <m:lMargin m:val="0"/>
    <m:rMargin m:val="0"/>
    <m:defJc m:val="centerGroup"/>
    <m:wrapIndent m:val="1440"/>
    <m:intLim m:val="subSup"/>
    <m:naryLim m:val="undOvr"/>
  </m:mathPr>
  <w:themeFontLang w:val="ar-S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0607EDF-BC17-4EAD-B054-9D4DB2D9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693F"/>
    <w:pPr>
      <w:spacing w:after="120" w:line="300" w:lineRule="auto"/>
      <w:jc w:val="right"/>
    </w:pPr>
    <w:rPr>
      <w:rFonts w:ascii="DejaVu Sans" w:hAnsi="DejaVu Sans" w:cs="DejaVu Sans"/>
      <w:color w:val="1F2937"/>
      <w:sz w:val="21"/>
    </w:rPr>
  </w:style>
  <w:style w:type="paragraph" w:styleId="1">
    <w:name w:val="heading 1"/>
    <w:basedOn w:val="a0"/>
    <w:next w:val="a0"/>
    <w:link w:val="1Char"/>
    <w:uiPriority w:val="9"/>
    <w:qFormat/>
    <w:rsid w:val="00FC693F"/>
    <w:pPr>
      <w:keepNext/>
      <w:keepLines/>
      <w:spacing w:before="360" w:after="200"/>
      <w:outlineLvl w:val="0"/>
    </w:pPr>
    <w:rPr>
      <w:rFonts w:asciiTheme="majorHAnsi" w:eastAsiaTheme="majorEastAsia" w:hAnsiTheme="majorHAnsi" w:cstheme="majorBidi"/>
      <w:b/>
      <w:bCs/>
      <w:color w:val="087F5B"/>
      <w:sz w:val="32"/>
      <w:szCs w:val="28"/>
    </w:rPr>
  </w:style>
  <w:style w:type="paragraph" w:styleId="2">
    <w:name w:val="heading 2"/>
    <w:basedOn w:val="a0"/>
    <w:next w:val="a0"/>
    <w:link w:val="2Char"/>
    <w:uiPriority w:val="9"/>
    <w:unhideWhenUsed/>
    <w:qFormat/>
    <w:rsid w:val="00FC693F"/>
    <w:pPr>
      <w:keepNext/>
      <w:keepLines/>
      <w:spacing w:before="280" w:after="140"/>
      <w:outlineLvl w:val="1"/>
    </w:pPr>
    <w:rPr>
      <w:rFonts w:asciiTheme="majorHAnsi" w:eastAsiaTheme="majorEastAsia" w:hAnsiTheme="majorHAnsi" w:cstheme="majorBidi"/>
      <w:b/>
      <w:bCs/>
      <w:color w:val="087F5B"/>
      <w:sz w:val="26"/>
      <w:szCs w:val="26"/>
    </w:rPr>
  </w:style>
  <w:style w:type="paragraph" w:styleId="3">
    <w:name w:val="heading 3"/>
    <w:basedOn w:val="a0"/>
    <w:next w:val="a0"/>
    <w:link w:val="3Char"/>
    <w:uiPriority w:val="9"/>
    <w:unhideWhenUsed/>
    <w:qFormat/>
    <w:rsid w:val="00FC693F"/>
    <w:pPr>
      <w:keepNext/>
      <w:keepLines/>
      <w:spacing w:before="200" w:after="100"/>
      <w:outlineLvl w:val="2"/>
    </w:pPr>
    <w:rPr>
      <w:rFonts w:asciiTheme="majorHAnsi" w:eastAsiaTheme="majorEastAsia" w:hAnsiTheme="majorHAnsi" w:cstheme="majorBidi"/>
      <w:b/>
      <w:bCs/>
      <w:color w:val="17243A"/>
      <w:sz w:val="23"/>
    </w:rPr>
  </w:style>
  <w:style w:type="paragraph" w:styleId="4">
    <w:name w:val="heading 4"/>
    <w:basedOn w:val="a0"/>
    <w:next w:val="a0"/>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1"/>
    <w:link w:val="a4"/>
    <w:uiPriority w:val="99"/>
    <w:rsid w:val="00E618BF"/>
  </w:style>
  <w:style w:type="paragraph" w:styleId="a5">
    <w:name w:val="footer"/>
    <w:basedOn w:val="a0"/>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1"/>
    <w:link w:val="a5"/>
    <w:uiPriority w:val="99"/>
    <w:rsid w:val="00E618BF"/>
  </w:style>
  <w:style w:type="paragraph" w:styleId="a6">
    <w:name w:val="No Spacing"/>
    <w:uiPriority w:val="1"/>
    <w:qFormat/>
    <w:rsid w:val="00FC693F"/>
    <w:pPr>
      <w:spacing w:after="0" w:line="240" w:lineRule="auto"/>
    </w:pPr>
  </w:style>
  <w:style w:type="character" w:customStyle="1" w:styleId="1Char">
    <w:name w:val="العنوان 1 Char"/>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uiPriority w:val="9"/>
    <w:rsid w:val="00FC693F"/>
    <w:rPr>
      <w:rFonts w:asciiTheme="majorHAnsi" w:eastAsiaTheme="majorEastAsia" w:hAnsiTheme="majorHAnsi" w:cstheme="majorBidi"/>
      <w:b/>
      <w:bCs/>
      <w:color w:val="4F81BD" w:themeColor="accent1"/>
    </w:rPr>
  </w:style>
  <w:style w:type="paragraph" w:styleId="a7">
    <w:name w:val="Title"/>
    <w:basedOn w:val="a0"/>
    <w:next w:val="a0"/>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1"/>
    <w:link w:val="a7"/>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0"/>
    <w:next w:val="a0"/>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1"/>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9">
    <w:name w:val="List Paragraph"/>
    <w:basedOn w:val="a0"/>
    <w:uiPriority w:val="34"/>
    <w:qFormat/>
    <w:rsid w:val="00FC693F"/>
    <w:pPr>
      <w:ind w:left="720"/>
      <w:contextualSpacing/>
    </w:pPr>
  </w:style>
  <w:style w:type="paragraph" w:styleId="aa">
    <w:name w:val="Body Text"/>
    <w:basedOn w:val="a0"/>
    <w:link w:val="Char3"/>
    <w:uiPriority w:val="99"/>
    <w:unhideWhenUsed/>
    <w:rsid w:val="00AA1D8D"/>
  </w:style>
  <w:style w:type="character" w:customStyle="1" w:styleId="Char3">
    <w:name w:val="نص أساسي Char"/>
    <w:basedOn w:val="a1"/>
    <w:link w:val="aa"/>
    <w:uiPriority w:val="99"/>
    <w:rsid w:val="00AA1D8D"/>
  </w:style>
  <w:style w:type="paragraph" w:styleId="20">
    <w:name w:val="Body Text 2"/>
    <w:basedOn w:val="a0"/>
    <w:link w:val="2Char0"/>
    <w:uiPriority w:val="99"/>
    <w:unhideWhenUsed/>
    <w:rsid w:val="00AA1D8D"/>
    <w:pPr>
      <w:spacing w:line="480" w:lineRule="auto"/>
    </w:pPr>
  </w:style>
  <w:style w:type="character" w:customStyle="1" w:styleId="2Char0">
    <w:name w:val="نص أساسي 2 Char"/>
    <w:basedOn w:val="a1"/>
    <w:link w:val="20"/>
    <w:uiPriority w:val="99"/>
    <w:rsid w:val="00AA1D8D"/>
  </w:style>
  <w:style w:type="paragraph" w:styleId="30">
    <w:name w:val="Body Text 3"/>
    <w:basedOn w:val="a0"/>
    <w:link w:val="3Char0"/>
    <w:uiPriority w:val="99"/>
    <w:unhideWhenUsed/>
    <w:rsid w:val="00AA1D8D"/>
    <w:rPr>
      <w:sz w:val="16"/>
      <w:szCs w:val="16"/>
    </w:rPr>
  </w:style>
  <w:style w:type="character" w:customStyle="1" w:styleId="3Char0">
    <w:name w:val="نص أساسي 3 Char"/>
    <w:basedOn w:val="a1"/>
    <w:link w:val="30"/>
    <w:uiPriority w:val="99"/>
    <w:rsid w:val="00AA1D8D"/>
    <w:rPr>
      <w:sz w:val="16"/>
      <w:szCs w:val="16"/>
    </w:rPr>
  </w:style>
  <w:style w:type="paragraph" w:styleId="ab">
    <w:name w:val="List"/>
    <w:basedOn w:val="a0"/>
    <w:uiPriority w:val="99"/>
    <w:unhideWhenUsed/>
    <w:rsid w:val="00AA1D8D"/>
    <w:pPr>
      <w:ind w:left="360" w:hanging="360"/>
      <w:contextualSpacing/>
    </w:pPr>
  </w:style>
  <w:style w:type="paragraph" w:styleId="21">
    <w:name w:val="List 2"/>
    <w:basedOn w:val="a0"/>
    <w:uiPriority w:val="99"/>
    <w:unhideWhenUsed/>
    <w:rsid w:val="00326F90"/>
    <w:pPr>
      <w:ind w:left="720" w:hanging="360"/>
      <w:contextualSpacing/>
    </w:pPr>
  </w:style>
  <w:style w:type="paragraph" w:styleId="31">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2">
    <w:name w:val="List Bullet 2"/>
    <w:basedOn w:val="a0"/>
    <w:uiPriority w:val="99"/>
    <w:unhideWhenUsed/>
    <w:rsid w:val="00326F90"/>
    <w:pPr>
      <w:tabs>
        <w:tab w:val="num" w:pos="360"/>
      </w:tabs>
      <w:contextualSpacing/>
    </w:pPr>
  </w:style>
  <w:style w:type="paragraph" w:styleId="32">
    <w:name w:val="List Bullet 3"/>
    <w:basedOn w:val="a0"/>
    <w:uiPriority w:val="99"/>
    <w:unhideWhenUsed/>
    <w:rsid w:val="00326F90"/>
    <w:pPr>
      <w:tabs>
        <w:tab w:val="num" w:pos="360"/>
      </w:tabs>
      <w:contextualSpacing/>
    </w:pPr>
  </w:style>
  <w:style w:type="paragraph" w:styleId="ac">
    <w:name w:val="List Number"/>
    <w:basedOn w:val="a0"/>
    <w:uiPriority w:val="99"/>
    <w:unhideWhenUsed/>
    <w:rsid w:val="00326F90"/>
    <w:pPr>
      <w:tabs>
        <w:tab w:val="num" w:pos="360"/>
      </w:tabs>
      <w:contextualSpacing/>
    </w:pPr>
  </w:style>
  <w:style w:type="paragraph" w:styleId="23">
    <w:name w:val="List Number 2"/>
    <w:basedOn w:val="a0"/>
    <w:uiPriority w:val="99"/>
    <w:unhideWhenUsed/>
    <w:rsid w:val="0029639D"/>
    <w:pPr>
      <w:tabs>
        <w:tab w:val="num" w:pos="360"/>
      </w:tabs>
      <w:contextualSpacing/>
    </w:pPr>
  </w:style>
  <w:style w:type="paragraph" w:styleId="33">
    <w:name w:val="List Number 3"/>
    <w:basedOn w:val="a0"/>
    <w:uiPriority w:val="99"/>
    <w:unhideWhenUsed/>
    <w:rsid w:val="0029639D"/>
    <w:pPr>
      <w:tabs>
        <w:tab w:val="num" w:pos="360"/>
      </w:tabs>
      <w:contextualSpacing/>
    </w:pPr>
  </w:style>
  <w:style w:type="paragraph" w:styleId="ad">
    <w:name w:val="List Continue"/>
    <w:basedOn w:val="a0"/>
    <w:uiPriority w:val="99"/>
    <w:unhideWhenUsed/>
    <w:rsid w:val="0029639D"/>
    <w:pPr>
      <w:ind w:left="360"/>
      <w:contextualSpacing/>
    </w:pPr>
  </w:style>
  <w:style w:type="paragraph" w:styleId="24">
    <w:name w:val="List Continue 2"/>
    <w:basedOn w:val="a0"/>
    <w:uiPriority w:val="99"/>
    <w:unhideWhenUsed/>
    <w:rsid w:val="0029639D"/>
    <w:pPr>
      <w:ind w:left="720"/>
      <w:contextualSpacing/>
    </w:pPr>
  </w:style>
  <w:style w:type="paragraph" w:styleId="34">
    <w:name w:val="List Continue 3"/>
    <w:basedOn w:val="a0"/>
    <w:uiPriority w:val="99"/>
    <w:unhideWhenUsed/>
    <w:rsid w:val="0029639D"/>
    <w:pPr>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1"/>
    <w:link w:val="ae"/>
    <w:uiPriority w:val="99"/>
    <w:rsid w:val="0029639D"/>
    <w:rPr>
      <w:rFonts w:ascii="Courier" w:hAnsi="Courier"/>
      <w:sz w:val="20"/>
      <w:szCs w:val="20"/>
    </w:rPr>
  </w:style>
  <w:style w:type="paragraph" w:styleId="af">
    <w:name w:val="Quote"/>
    <w:basedOn w:val="a0"/>
    <w:next w:val="a0"/>
    <w:link w:val="Char5"/>
    <w:uiPriority w:val="29"/>
    <w:qFormat/>
    <w:rsid w:val="00FC693F"/>
    <w:rPr>
      <w:i/>
      <w:iCs/>
      <w:color w:val="000000" w:themeColor="text1"/>
    </w:rPr>
  </w:style>
  <w:style w:type="character" w:customStyle="1" w:styleId="Char5">
    <w:name w:val="اقتباس Char"/>
    <w:basedOn w:val="a1"/>
    <w:link w:val="af"/>
    <w:uiPriority w:val="29"/>
    <w:rsid w:val="00FC693F"/>
    <w:rPr>
      <w:i/>
      <w:iCs/>
      <w:color w:val="000000" w:themeColor="text1"/>
    </w:rPr>
  </w:style>
  <w:style w:type="character" w:customStyle="1" w:styleId="4Char">
    <w:name w:val="عنوان 4 Char"/>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1">
    <w:name w:val="Strong"/>
    <w:basedOn w:val="a1"/>
    <w:uiPriority w:val="22"/>
    <w:qFormat/>
    <w:rsid w:val="00FC693F"/>
    <w:rPr>
      <w:b/>
      <w:bCs/>
    </w:rPr>
  </w:style>
  <w:style w:type="character" w:styleId="af2">
    <w:name w:val="Emphasis"/>
    <w:basedOn w:val="a1"/>
    <w:uiPriority w:val="20"/>
    <w:qFormat/>
    <w:rsid w:val="00FC693F"/>
    <w:rPr>
      <w:i/>
      <w:iCs/>
    </w:rPr>
  </w:style>
  <w:style w:type="paragraph" w:styleId="af3">
    <w:name w:val="Intense Quote"/>
    <w:basedOn w:val="a0"/>
    <w:next w:val="a0"/>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1"/>
    <w:link w:val="af3"/>
    <w:uiPriority w:val="30"/>
    <w:rsid w:val="00FC693F"/>
    <w:rPr>
      <w:b/>
      <w:bCs/>
      <w:i/>
      <w:iCs/>
      <w:color w:val="4F81BD" w:themeColor="accent1"/>
    </w:rPr>
  </w:style>
  <w:style w:type="character" w:styleId="af4">
    <w:name w:val="Subtle Emphasis"/>
    <w:basedOn w:val="a1"/>
    <w:uiPriority w:val="19"/>
    <w:qFormat/>
    <w:rsid w:val="00FC693F"/>
    <w:rPr>
      <w:i/>
      <w:iCs/>
      <w:color w:val="808080" w:themeColor="text1" w:themeTint="7F"/>
    </w:rPr>
  </w:style>
  <w:style w:type="character" w:styleId="af5">
    <w:name w:val="Intense Emphasis"/>
    <w:basedOn w:val="a1"/>
    <w:uiPriority w:val="21"/>
    <w:qFormat/>
    <w:rsid w:val="00FC693F"/>
    <w:rPr>
      <w:b/>
      <w:bCs/>
      <w:i/>
      <w:iCs/>
      <w:color w:val="4F81BD" w:themeColor="accent1"/>
    </w:rPr>
  </w:style>
  <w:style w:type="character" w:styleId="af6">
    <w:name w:val="Subtle Reference"/>
    <w:basedOn w:val="a1"/>
    <w:uiPriority w:val="31"/>
    <w:qFormat/>
    <w:rsid w:val="00FC693F"/>
    <w:rPr>
      <w:smallCaps/>
      <w:color w:val="C0504D" w:themeColor="accent2"/>
      <w:u w:val="single"/>
    </w:rPr>
  </w:style>
  <w:style w:type="character" w:styleId="af7">
    <w:name w:val="Intense Reference"/>
    <w:basedOn w:val="a1"/>
    <w:uiPriority w:val="32"/>
    <w:qFormat/>
    <w:rsid w:val="00FC693F"/>
    <w:rPr>
      <w:b/>
      <w:bCs/>
      <w:smallCaps/>
      <w:color w:val="C0504D" w:themeColor="accent2"/>
      <w:spacing w:val="5"/>
      <w:u w:val="single"/>
    </w:rPr>
  </w:style>
  <w:style w:type="character" w:styleId="af8">
    <w:name w:val="Book Title"/>
    <w:basedOn w:val="a1"/>
    <w:uiPriority w:val="33"/>
    <w:qFormat/>
    <w:rsid w:val="00FC693F"/>
    <w:rPr>
      <w:b/>
      <w:bCs/>
      <w:smallCaps/>
      <w:spacing w:val="5"/>
    </w:rPr>
  </w:style>
  <w:style w:type="paragraph" w:styleId="af9">
    <w:name w:val="TOC Heading"/>
    <w:basedOn w:val="1"/>
    <w:next w:val="a0"/>
    <w:uiPriority w:val="39"/>
    <w:semiHidden/>
    <w:unhideWhenUsed/>
    <w:qFormat/>
    <w:rsid w:val="00FC693F"/>
    <w:pPr>
      <w:outlineLvl w:val="9"/>
    </w:pPr>
  </w:style>
  <w:style w:type="table" w:styleId="afa">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sd.gov.sa/knowledge-centre/decisions-and-regulations/regulation-and-procedures/%D9%86%D8%B8%D8%A7%D9%85-%D8%A7%D9%84%D8%B9%D9%85%D9%8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daia.gov.sa/ar/Research/Pages/DataProtection.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wareness.gosi.gov.sa/businessJourney.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rsd.gov.sa/media-center/news/%D8%A8%D8%B1%D9%86%D8%A7%D9%85%D8%AC-%D8%AD%D9%85%D8%A7%D9%8A%D8%A9-%D8%A7%D9%84%D8%A3%D8%AC%D9%88%D8%B1" TargetMode="External"/><Relationship Id="rId4" Type="http://schemas.openxmlformats.org/officeDocument/2006/relationships/settings" Target="settings.xml"/><Relationship Id="rId9" Type="http://schemas.openxmlformats.org/officeDocument/2006/relationships/hyperlink" Target="https://www.hrsd.gov.sa/knowledge-centre/decisions-and-regulations/regulation-and-procedures/%D8%A7%D9%84%D9%84%D8%A7%D8%A6%D8%A7%D8%A6%D8%AD%D8%A9-%D8%A7%D9%84%D8%AA%D9%86%D9%81%D9%8A%D8%B0%D9%8A%D8%A9-%D9%84%D9%86%D8%B8%D8%A7%D9%85-%D8%A7%D9%84%D8%B9%D9%85%D9%84-%D9%88%D9%85%D9%84%D8%AD%D9%82%D8%A7%D8%AA%D9%87%D8%A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2A18D-9E6D-42A8-B29D-E78FCA4BC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3060</Words>
  <Characters>17446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سياسة الأجور والتعويضات</dc:title>
  <dc:subject>قالب استرشادي عام متوافق مع الأنظمة السعودية</dc:subject>
  <dc:creator>مجد</dc:creator>
  <cp:keywords>الأجور، التعويضات، الرواتب، البدلات، المكافآت، حماية الأجور، الموارد البشرية، مجد</cp:keywords>
  <dc:description>generated by python-docx</dc:description>
  <cp:lastModifiedBy>Thamer Al Shehri</cp:lastModifiedBy>
  <cp:revision>2</cp:revision>
  <dcterms:created xsi:type="dcterms:W3CDTF">2013-12-23T23:15:00Z</dcterms:created>
  <dcterms:modified xsi:type="dcterms:W3CDTF">2026-08-09T11:04:00Z</dcterms:modified>
  <cp:category/>
</cp:coreProperties>
</file>