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DDA" w:rsidRDefault="00BA10EA">
      <w:pPr>
        <w:spacing w:before="760" w:after="160"/>
        <w:jc w:val="center"/>
        <w:rPr>
          <w:rFonts w:hint="eastAsia"/>
        </w:rPr>
      </w:pPr>
      <w:r>
        <w:rPr>
          <w:rFonts w:cs="Times New Roman"/>
          <w:b/>
          <w:color w:val="087F5B"/>
          <w:rtl/>
        </w:rPr>
        <w:t>نموذج سياسات الموارد البشرية</w:t>
      </w:r>
    </w:p>
    <w:p w:rsidR="00594DDA" w:rsidRDefault="00BA10EA">
      <w:pPr>
        <w:spacing w:after="160"/>
        <w:jc w:val="center"/>
        <w:rPr>
          <w:rFonts w:hint="eastAsia"/>
        </w:rPr>
      </w:pPr>
      <w:r>
        <w:rPr>
          <w:rFonts w:cs="Times New Roman"/>
          <w:b/>
          <w:color w:val="17243A"/>
          <w:sz w:val="54"/>
          <w:rtl/>
        </w:rPr>
        <w:t>سياسة السلوك وأخلاقيات العمل</w:t>
      </w:r>
    </w:p>
    <w:p w:rsidR="00594DDA" w:rsidRDefault="00BA10EA">
      <w:pPr>
        <w:spacing w:after="480"/>
        <w:jc w:val="center"/>
        <w:rPr>
          <w:rFonts w:hint="eastAsia"/>
        </w:rPr>
      </w:pPr>
      <w:r>
        <w:rPr>
          <w:rFonts w:cs="Times New Roman"/>
          <w:color w:val="667085"/>
          <w:sz w:val="24"/>
          <w:rtl/>
        </w:rPr>
        <w:t>قالب استرشادي عام قابل للتعدي</w:t>
      </w:r>
      <w:bookmarkStart w:id="0" w:name="_GoBack"/>
      <w:bookmarkEnd w:id="0"/>
      <w:r>
        <w:rPr>
          <w:rFonts w:cs="Times New Roman"/>
          <w:color w:val="667085"/>
          <w:sz w:val="24"/>
          <w:rtl/>
        </w:rPr>
        <w:t>ل للمنشآت في المملكة العربية السعودية</w:t>
      </w:r>
    </w:p>
    <w:tbl>
      <w:tblPr>
        <w:tblStyle w:val="afa"/>
        <w:tblW w:w="9360" w:type="dxa"/>
        <w:tblInd w:w="120" w:type="dxa"/>
        <w:tblLayout w:type="fixed"/>
        <w:tblLook w:val="04A0" w:firstRow="1" w:lastRow="0" w:firstColumn="1" w:lastColumn="0" w:noHBand="0" w:noVBand="1"/>
      </w:tblPr>
      <w:tblGrid>
        <w:gridCol w:w="1500"/>
        <w:gridCol w:w="3180"/>
        <w:gridCol w:w="1500"/>
        <w:gridCol w:w="3180"/>
      </w:tblGrid>
      <w:tr w:rsidR="00594DDA">
        <w:trPr>
          <w:cantSplit/>
        </w:trPr>
        <w:tc>
          <w:tcPr>
            <w:tcW w:w="1500" w:type="dxa"/>
            <w:shd w:val="clear" w:color="auto" w:fill="E8EEF5"/>
            <w:tcMar>
              <w:top w:w="100" w:type="dxa"/>
              <w:left w:w="130" w:type="dxa"/>
              <w:bottom w:w="100" w:type="dxa"/>
              <w:right w:w="130" w:type="dxa"/>
            </w:tcMar>
          </w:tcPr>
          <w:p w:rsidR="00594DDA" w:rsidRDefault="00BA10EA">
            <w:pPr>
              <w:spacing w:after="0"/>
              <w:rPr>
                <w:rFonts w:hint="eastAsia"/>
              </w:rPr>
            </w:pPr>
            <w:r>
              <w:rPr>
                <w:rFonts w:cs="Times New Roman"/>
                <w:b/>
                <w:color w:val="17243A"/>
                <w:sz w:val="18"/>
                <w:rtl/>
              </w:rPr>
              <w:t>اسم المنشأة</w:t>
            </w:r>
          </w:p>
        </w:tc>
        <w:tc>
          <w:tcPr>
            <w:tcW w:w="3180" w:type="dxa"/>
            <w:tcMar>
              <w:top w:w="100" w:type="dxa"/>
              <w:left w:w="130" w:type="dxa"/>
              <w:bottom w:w="100" w:type="dxa"/>
              <w:right w:w="130" w:type="dxa"/>
            </w:tcMar>
          </w:tcPr>
          <w:p w:rsidR="00594DDA" w:rsidRDefault="00BA10EA">
            <w:pPr>
              <w:spacing w:after="0"/>
              <w:rPr>
                <w:rFonts w:hint="eastAsia"/>
              </w:rPr>
            </w:pPr>
            <w:r>
              <w:rPr>
                <w:color w:val="1769AA"/>
                <w:sz w:val="18"/>
                <w:rtl/>
              </w:rPr>
              <w:t>[</w:t>
            </w:r>
            <w:r>
              <w:rPr>
                <w:rFonts w:cs="Times New Roman"/>
                <w:color w:val="1769AA"/>
                <w:sz w:val="18"/>
                <w:rtl/>
              </w:rPr>
              <w:t>اسم المنشأة</w:t>
            </w:r>
            <w:r>
              <w:rPr>
                <w:color w:val="1769AA"/>
                <w:sz w:val="18"/>
                <w:rtl/>
              </w:rPr>
              <w:t>]</w:t>
            </w:r>
          </w:p>
        </w:tc>
        <w:tc>
          <w:tcPr>
            <w:tcW w:w="1500" w:type="dxa"/>
            <w:shd w:val="clear" w:color="auto" w:fill="E8EEF5"/>
            <w:tcMar>
              <w:top w:w="100" w:type="dxa"/>
              <w:left w:w="130" w:type="dxa"/>
              <w:bottom w:w="100" w:type="dxa"/>
              <w:right w:w="130" w:type="dxa"/>
            </w:tcMar>
          </w:tcPr>
          <w:p w:rsidR="00594DDA" w:rsidRDefault="00BA10EA">
            <w:pPr>
              <w:spacing w:after="0"/>
              <w:rPr>
                <w:rFonts w:hint="eastAsia"/>
              </w:rPr>
            </w:pPr>
            <w:r>
              <w:rPr>
                <w:rFonts w:cs="Times New Roman"/>
                <w:b/>
                <w:color w:val="17243A"/>
                <w:sz w:val="18"/>
                <w:rtl/>
              </w:rPr>
              <w:t>رمز الوثيقة</w:t>
            </w:r>
          </w:p>
        </w:tc>
        <w:tc>
          <w:tcPr>
            <w:tcW w:w="3180" w:type="dxa"/>
            <w:tcMar>
              <w:top w:w="100" w:type="dxa"/>
              <w:left w:w="130" w:type="dxa"/>
              <w:bottom w:w="100" w:type="dxa"/>
              <w:right w:w="130" w:type="dxa"/>
            </w:tcMar>
          </w:tcPr>
          <w:p w:rsidR="00594DDA" w:rsidRDefault="00BA10EA">
            <w:pPr>
              <w:spacing w:after="0"/>
              <w:rPr>
                <w:rFonts w:hint="eastAsia"/>
              </w:rPr>
            </w:pPr>
            <w:r>
              <w:rPr>
                <w:sz w:val="18"/>
                <w:rtl/>
              </w:rPr>
              <w:t>HR-POL-CE-001</w:t>
            </w:r>
          </w:p>
        </w:tc>
      </w:tr>
      <w:tr w:rsidR="00594DDA">
        <w:trPr>
          <w:cantSplit/>
        </w:trPr>
        <w:tc>
          <w:tcPr>
            <w:tcW w:w="1500" w:type="dxa"/>
            <w:shd w:val="clear" w:color="auto" w:fill="E8EEF5"/>
            <w:tcMar>
              <w:top w:w="100" w:type="dxa"/>
              <w:left w:w="130" w:type="dxa"/>
              <w:bottom w:w="100" w:type="dxa"/>
              <w:right w:w="130" w:type="dxa"/>
            </w:tcMar>
          </w:tcPr>
          <w:p w:rsidR="00594DDA" w:rsidRDefault="00BA10EA">
            <w:pPr>
              <w:spacing w:after="0"/>
              <w:rPr>
                <w:rFonts w:hint="eastAsia"/>
              </w:rPr>
            </w:pPr>
            <w:r>
              <w:rPr>
                <w:rFonts w:cs="Times New Roman"/>
                <w:b/>
                <w:color w:val="17243A"/>
                <w:sz w:val="18"/>
                <w:rtl/>
              </w:rPr>
              <w:t>الإصدار</w:t>
            </w:r>
          </w:p>
        </w:tc>
        <w:tc>
          <w:tcPr>
            <w:tcW w:w="3180" w:type="dxa"/>
            <w:tcMar>
              <w:top w:w="100" w:type="dxa"/>
              <w:left w:w="130" w:type="dxa"/>
              <w:bottom w:w="100" w:type="dxa"/>
              <w:right w:w="130" w:type="dxa"/>
            </w:tcMar>
          </w:tcPr>
          <w:p w:rsidR="00594DDA" w:rsidRDefault="00BA10EA">
            <w:pPr>
              <w:spacing w:after="0"/>
              <w:rPr>
                <w:rFonts w:hint="eastAsia"/>
              </w:rPr>
            </w:pPr>
            <w:r>
              <w:rPr>
                <w:color w:val="1769AA"/>
                <w:sz w:val="18"/>
                <w:rtl/>
              </w:rPr>
              <w:t>[1.0]</w:t>
            </w:r>
          </w:p>
        </w:tc>
        <w:tc>
          <w:tcPr>
            <w:tcW w:w="1500" w:type="dxa"/>
            <w:shd w:val="clear" w:color="auto" w:fill="E8EEF5"/>
            <w:tcMar>
              <w:top w:w="100" w:type="dxa"/>
              <w:left w:w="130" w:type="dxa"/>
              <w:bottom w:w="100" w:type="dxa"/>
              <w:right w:w="130" w:type="dxa"/>
            </w:tcMar>
          </w:tcPr>
          <w:p w:rsidR="00594DDA" w:rsidRDefault="00BA10EA">
            <w:pPr>
              <w:spacing w:after="0"/>
              <w:rPr>
                <w:rFonts w:hint="eastAsia"/>
              </w:rPr>
            </w:pPr>
            <w:r>
              <w:rPr>
                <w:rFonts w:cs="Times New Roman"/>
                <w:b/>
                <w:color w:val="17243A"/>
                <w:sz w:val="18"/>
                <w:rtl/>
              </w:rPr>
              <w:t>تاريخ السريان</w:t>
            </w:r>
          </w:p>
        </w:tc>
        <w:tc>
          <w:tcPr>
            <w:tcW w:w="3180" w:type="dxa"/>
            <w:tcMar>
              <w:top w:w="100" w:type="dxa"/>
              <w:left w:w="130" w:type="dxa"/>
              <w:bottom w:w="100" w:type="dxa"/>
              <w:right w:w="130" w:type="dxa"/>
            </w:tcMar>
          </w:tcPr>
          <w:p w:rsidR="00594DDA" w:rsidRDefault="00BA10EA">
            <w:pPr>
              <w:spacing w:after="0"/>
              <w:rPr>
                <w:rFonts w:hint="eastAsia"/>
              </w:rPr>
            </w:pPr>
            <w:r>
              <w:rPr>
                <w:color w:val="1769AA"/>
                <w:sz w:val="18"/>
                <w:rtl/>
              </w:rPr>
              <w:t>[</w:t>
            </w:r>
            <w:r>
              <w:rPr>
                <w:rFonts w:cs="Times New Roman"/>
                <w:color w:val="1769AA"/>
                <w:sz w:val="18"/>
                <w:rtl/>
              </w:rPr>
              <w:t>يوم</w:t>
            </w:r>
            <w:r>
              <w:rPr>
                <w:color w:val="1769AA"/>
                <w:sz w:val="18"/>
                <w:rtl/>
              </w:rPr>
              <w:t>/</w:t>
            </w:r>
            <w:r>
              <w:rPr>
                <w:rFonts w:cs="Times New Roman"/>
                <w:color w:val="1769AA"/>
                <w:sz w:val="18"/>
                <w:rtl/>
              </w:rPr>
              <w:t>شهر</w:t>
            </w:r>
            <w:r>
              <w:rPr>
                <w:color w:val="1769AA"/>
                <w:sz w:val="18"/>
                <w:rtl/>
              </w:rPr>
              <w:t>/</w:t>
            </w:r>
            <w:r>
              <w:rPr>
                <w:rFonts w:cs="Times New Roman"/>
                <w:color w:val="1769AA"/>
                <w:sz w:val="18"/>
                <w:rtl/>
              </w:rPr>
              <w:t>سنة</w:t>
            </w:r>
            <w:r>
              <w:rPr>
                <w:color w:val="1769AA"/>
                <w:sz w:val="18"/>
                <w:rtl/>
              </w:rPr>
              <w:t>]</w:t>
            </w:r>
          </w:p>
        </w:tc>
      </w:tr>
      <w:tr w:rsidR="00594DDA">
        <w:trPr>
          <w:cantSplit/>
        </w:trPr>
        <w:tc>
          <w:tcPr>
            <w:tcW w:w="1500" w:type="dxa"/>
            <w:shd w:val="clear" w:color="auto" w:fill="E8EEF5"/>
            <w:tcMar>
              <w:top w:w="100" w:type="dxa"/>
              <w:left w:w="130" w:type="dxa"/>
              <w:bottom w:w="100" w:type="dxa"/>
              <w:right w:w="130" w:type="dxa"/>
            </w:tcMar>
          </w:tcPr>
          <w:p w:rsidR="00594DDA" w:rsidRDefault="00BA10EA">
            <w:pPr>
              <w:spacing w:after="0"/>
              <w:rPr>
                <w:rFonts w:hint="eastAsia"/>
              </w:rPr>
            </w:pPr>
            <w:r>
              <w:rPr>
                <w:rFonts w:cs="Times New Roman"/>
                <w:b/>
                <w:color w:val="17243A"/>
                <w:sz w:val="18"/>
                <w:rtl/>
              </w:rPr>
              <w:t>مالك السياسة</w:t>
            </w:r>
          </w:p>
        </w:tc>
        <w:tc>
          <w:tcPr>
            <w:tcW w:w="3180" w:type="dxa"/>
            <w:tcMar>
              <w:top w:w="100" w:type="dxa"/>
              <w:left w:w="130" w:type="dxa"/>
              <w:bottom w:w="100" w:type="dxa"/>
              <w:right w:w="130" w:type="dxa"/>
            </w:tcMar>
          </w:tcPr>
          <w:p w:rsidR="00594DDA" w:rsidRDefault="00BA10EA">
            <w:pPr>
              <w:spacing w:after="0"/>
              <w:rPr>
                <w:rFonts w:hint="eastAsia"/>
              </w:rPr>
            </w:pPr>
            <w:r>
              <w:rPr>
                <w:rFonts w:cs="Times New Roman"/>
                <w:sz w:val="18"/>
                <w:rtl/>
              </w:rPr>
              <w:t>إدارة الموارد البشرية</w:t>
            </w:r>
          </w:p>
        </w:tc>
        <w:tc>
          <w:tcPr>
            <w:tcW w:w="1500" w:type="dxa"/>
            <w:shd w:val="clear" w:color="auto" w:fill="E8EEF5"/>
            <w:tcMar>
              <w:top w:w="100" w:type="dxa"/>
              <w:left w:w="130" w:type="dxa"/>
              <w:bottom w:w="100" w:type="dxa"/>
              <w:right w:w="130" w:type="dxa"/>
            </w:tcMar>
          </w:tcPr>
          <w:p w:rsidR="00594DDA" w:rsidRDefault="00BA10EA">
            <w:pPr>
              <w:spacing w:after="0"/>
              <w:rPr>
                <w:rFonts w:hint="eastAsia"/>
              </w:rPr>
            </w:pPr>
            <w:r>
              <w:rPr>
                <w:rFonts w:cs="Times New Roman"/>
                <w:b/>
                <w:color w:val="17243A"/>
                <w:sz w:val="18"/>
                <w:rtl/>
              </w:rPr>
              <w:t>جهة الاعتماد</w:t>
            </w:r>
          </w:p>
        </w:tc>
        <w:tc>
          <w:tcPr>
            <w:tcW w:w="3180" w:type="dxa"/>
            <w:tcMar>
              <w:top w:w="100" w:type="dxa"/>
              <w:left w:w="130" w:type="dxa"/>
              <w:bottom w:w="100" w:type="dxa"/>
              <w:right w:w="130" w:type="dxa"/>
            </w:tcMar>
          </w:tcPr>
          <w:p w:rsidR="00594DDA" w:rsidRDefault="00BA10EA">
            <w:pPr>
              <w:spacing w:after="0"/>
              <w:rPr>
                <w:rFonts w:hint="eastAsia"/>
              </w:rPr>
            </w:pPr>
            <w:r>
              <w:rPr>
                <w:color w:val="1769AA"/>
                <w:sz w:val="18"/>
                <w:rtl/>
              </w:rPr>
              <w:t>[</w:t>
            </w:r>
            <w:r>
              <w:rPr>
                <w:rFonts w:cs="Times New Roman"/>
                <w:color w:val="1769AA"/>
                <w:sz w:val="18"/>
                <w:rtl/>
              </w:rPr>
              <w:t>صاحب الصلاحية</w:t>
            </w:r>
            <w:r>
              <w:rPr>
                <w:color w:val="1769AA"/>
                <w:sz w:val="18"/>
                <w:rtl/>
              </w:rPr>
              <w:t>]</w:t>
            </w:r>
          </w:p>
        </w:tc>
      </w:tr>
      <w:tr w:rsidR="00594DDA">
        <w:trPr>
          <w:cantSplit/>
        </w:trPr>
        <w:tc>
          <w:tcPr>
            <w:tcW w:w="1500" w:type="dxa"/>
            <w:shd w:val="clear" w:color="auto" w:fill="E8EEF5"/>
            <w:tcMar>
              <w:top w:w="100" w:type="dxa"/>
              <w:left w:w="130" w:type="dxa"/>
              <w:bottom w:w="100" w:type="dxa"/>
              <w:right w:w="130" w:type="dxa"/>
            </w:tcMar>
          </w:tcPr>
          <w:p w:rsidR="00594DDA" w:rsidRDefault="00BA10EA">
            <w:pPr>
              <w:spacing w:after="0"/>
              <w:rPr>
                <w:rFonts w:hint="eastAsia"/>
              </w:rPr>
            </w:pPr>
            <w:r>
              <w:rPr>
                <w:rFonts w:cs="Times New Roman"/>
                <w:b/>
                <w:color w:val="17243A"/>
                <w:sz w:val="18"/>
                <w:rtl/>
              </w:rPr>
              <w:t>دورية المراجعة</w:t>
            </w:r>
          </w:p>
        </w:tc>
        <w:tc>
          <w:tcPr>
            <w:tcW w:w="3180" w:type="dxa"/>
            <w:tcMar>
              <w:top w:w="100" w:type="dxa"/>
              <w:left w:w="130" w:type="dxa"/>
              <w:bottom w:w="100" w:type="dxa"/>
              <w:right w:w="130" w:type="dxa"/>
            </w:tcMar>
          </w:tcPr>
          <w:p w:rsidR="00594DDA" w:rsidRDefault="00BA10EA">
            <w:pPr>
              <w:spacing w:after="0"/>
              <w:rPr>
                <w:rFonts w:hint="eastAsia"/>
              </w:rPr>
            </w:pPr>
            <w:r>
              <w:rPr>
                <w:rFonts w:cs="Times New Roman"/>
                <w:sz w:val="18"/>
                <w:rtl/>
              </w:rPr>
              <w:t>سنويًا أو عند تعديل الأنظمة</w:t>
            </w:r>
          </w:p>
        </w:tc>
        <w:tc>
          <w:tcPr>
            <w:tcW w:w="1500" w:type="dxa"/>
            <w:shd w:val="clear" w:color="auto" w:fill="E8EEF5"/>
            <w:tcMar>
              <w:top w:w="100" w:type="dxa"/>
              <w:left w:w="130" w:type="dxa"/>
              <w:bottom w:w="100" w:type="dxa"/>
              <w:right w:w="130" w:type="dxa"/>
            </w:tcMar>
          </w:tcPr>
          <w:p w:rsidR="00594DDA" w:rsidRDefault="00BA10EA">
            <w:pPr>
              <w:spacing w:after="0"/>
              <w:rPr>
                <w:rFonts w:hint="eastAsia"/>
              </w:rPr>
            </w:pPr>
            <w:r>
              <w:rPr>
                <w:rFonts w:cs="Times New Roman"/>
                <w:b/>
                <w:color w:val="17243A"/>
                <w:sz w:val="18"/>
                <w:rtl/>
              </w:rPr>
              <w:t>تاريخ المراجعة القادمة</w:t>
            </w:r>
          </w:p>
        </w:tc>
        <w:tc>
          <w:tcPr>
            <w:tcW w:w="3180" w:type="dxa"/>
            <w:tcMar>
              <w:top w:w="100" w:type="dxa"/>
              <w:left w:w="130" w:type="dxa"/>
              <w:bottom w:w="100" w:type="dxa"/>
              <w:right w:w="130" w:type="dxa"/>
            </w:tcMar>
          </w:tcPr>
          <w:p w:rsidR="00594DDA" w:rsidRDefault="00BA10EA">
            <w:pPr>
              <w:spacing w:after="0"/>
              <w:rPr>
                <w:rFonts w:hint="eastAsia"/>
              </w:rPr>
            </w:pPr>
            <w:r>
              <w:rPr>
                <w:color w:val="1769AA"/>
                <w:sz w:val="18"/>
                <w:rtl/>
              </w:rPr>
              <w:t>[</w:t>
            </w:r>
            <w:r>
              <w:rPr>
                <w:rFonts w:cs="Times New Roman"/>
                <w:color w:val="1769AA"/>
                <w:sz w:val="18"/>
                <w:rtl/>
              </w:rPr>
              <w:t>يوم</w:t>
            </w:r>
            <w:r>
              <w:rPr>
                <w:color w:val="1769AA"/>
                <w:sz w:val="18"/>
                <w:rtl/>
              </w:rPr>
              <w:t>/</w:t>
            </w:r>
            <w:r>
              <w:rPr>
                <w:rFonts w:cs="Times New Roman"/>
                <w:color w:val="1769AA"/>
                <w:sz w:val="18"/>
                <w:rtl/>
              </w:rPr>
              <w:t>شهر</w:t>
            </w:r>
            <w:r>
              <w:rPr>
                <w:color w:val="1769AA"/>
                <w:sz w:val="18"/>
                <w:rtl/>
              </w:rPr>
              <w:t>/</w:t>
            </w:r>
            <w:r>
              <w:rPr>
                <w:rFonts w:cs="Times New Roman"/>
                <w:color w:val="1769AA"/>
                <w:sz w:val="18"/>
                <w:rtl/>
              </w:rPr>
              <w:t>سنة</w:t>
            </w:r>
            <w:r>
              <w:rPr>
                <w:color w:val="1769AA"/>
                <w:sz w:val="18"/>
                <w:rtl/>
              </w:rPr>
              <w:t>]</w:t>
            </w:r>
          </w:p>
        </w:tc>
      </w:tr>
    </w:tbl>
    <w:p w:rsidR="00594DDA" w:rsidRDefault="00594DDA">
      <w:pPr>
        <w:spacing w:after="100"/>
        <w:rPr>
          <w:rFonts w:hint="eastAsia"/>
        </w:rPr>
      </w:pPr>
    </w:p>
    <w:tbl>
      <w:tblPr>
        <w:tblStyle w:val="afa"/>
        <w:tblW w:w="9360" w:type="dxa"/>
        <w:jc w:val="center"/>
        <w:tblLayout w:type="fixed"/>
        <w:tblLook w:val="04A0" w:firstRow="1" w:lastRow="0" w:firstColumn="1" w:lastColumn="0" w:noHBand="0" w:noVBand="1"/>
      </w:tblPr>
      <w:tblGrid>
        <w:gridCol w:w="9360"/>
      </w:tblGrid>
      <w:tr w:rsidR="00594DDA">
        <w:trPr>
          <w:cantSplit/>
          <w:jc w:val="center"/>
        </w:trPr>
        <w:tc>
          <w:tcPr>
            <w:tcW w:w="9360" w:type="dxa"/>
            <w:shd w:val="clear" w:color="auto" w:fill="E8F5F0"/>
            <w:tcMar>
              <w:top w:w="100" w:type="dxa"/>
              <w:left w:w="130" w:type="dxa"/>
              <w:bottom w:w="100" w:type="dxa"/>
              <w:right w:w="130" w:type="dxa"/>
            </w:tcMar>
            <w:vAlign w:val="center"/>
          </w:tcPr>
          <w:p w:rsidR="00594DDA" w:rsidRDefault="00BA10EA" w:rsidP="00E677CE">
            <w:pPr>
              <w:spacing w:after="40"/>
              <w:jc w:val="left"/>
              <w:rPr>
                <w:rFonts w:hint="eastAsia"/>
              </w:rPr>
            </w:pPr>
            <w:r>
              <w:rPr>
                <w:rFonts w:cs="Times New Roman"/>
                <w:b/>
                <w:color w:val="087F5B"/>
                <w:sz w:val="20"/>
                <w:rtl/>
              </w:rPr>
              <w:t>طريقة الاستخدام</w:t>
            </w:r>
            <w:r>
              <w:rPr>
                <w:b/>
                <w:color w:val="087F5B"/>
                <w:sz w:val="20"/>
                <w:rtl/>
              </w:rPr>
              <w:t xml:space="preserve">: </w:t>
            </w:r>
            <w:r>
              <w:rPr>
                <w:rFonts w:cs="Times New Roman"/>
                <w:sz w:val="19"/>
                <w:rtl/>
              </w:rPr>
              <w:t xml:space="preserve">استبدل النصوص الزرقاء بين الأقواس </w:t>
            </w:r>
            <w:r>
              <w:rPr>
                <w:sz w:val="19"/>
                <w:rtl/>
              </w:rPr>
              <w:t xml:space="preserve">[ ] </w:t>
            </w:r>
            <w:r>
              <w:rPr>
                <w:rFonts w:cs="Times New Roman"/>
                <w:sz w:val="19"/>
                <w:rtl/>
              </w:rPr>
              <w:t>ببيانات المنشأة، وحدد قنوات البلاغ والإفصاح وحدود الهدايا ومدد المعالجة والصلاحيات قبل ا</w:t>
            </w:r>
            <w:r>
              <w:rPr>
                <w:rFonts w:cs="Times New Roman"/>
                <w:sz w:val="19"/>
                <w:rtl/>
              </w:rPr>
              <w:t>لاعتماد</w:t>
            </w:r>
            <w:r>
              <w:rPr>
                <w:sz w:val="19"/>
                <w:rtl/>
              </w:rPr>
              <w:t>.</w:t>
            </w:r>
          </w:p>
        </w:tc>
      </w:tr>
    </w:tbl>
    <w:p w:rsidR="00594DDA" w:rsidRDefault="00594DDA" w:rsidP="00E677CE">
      <w:pPr>
        <w:spacing w:after="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594DDA">
        <w:trPr>
          <w:cantSplit/>
          <w:jc w:val="center"/>
        </w:trPr>
        <w:tc>
          <w:tcPr>
            <w:tcW w:w="9360" w:type="dxa"/>
            <w:shd w:val="clear" w:color="auto" w:fill="FFF4E5"/>
            <w:tcMar>
              <w:top w:w="100" w:type="dxa"/>
              <w:left w:w="130" w:type="dxa"/>
              <w:bottom w:w="100" w:type="dxa"/>
              <w:right w:w="130" w:type="dxa"/>
            </w:tcMar>
            <w:vAlign w:val="center"/>
          </w:tcPr>
          <w:p w:rsidR="00594DDA" w:rsidRDefault="00BA10EA" w:rsidP="00E677CE">
            <w:pPr>
              <w:spacing w:after="40"/>
              <w:jc w:val="left"/>
              <w:rPr>
                <w:rFonts w:hint="eastAsia"/>
              </w:rPr>
            </w:pPr>
            <w:r>
              <w:rPr>
                <w:rFonts w:cs="Times New Roman"/>
                <w:b/>
                <w:color w:val="A15C00"/>
                <w:sz w:val="20"/>
                <w:rtl/>
              </w:rPr>
              <w:t>تنبيه مهم</w:t>
            </w:r>
            <w:r>
              <w:rPr>
                <w:b/>
                <w:color w:val="A15C00"/>
                <w:sz w:val="20"/>
                <w:rtl/>
              </w:rPr>
              <w:t xml:space="preserve">: </w:t>
            </w:r>
            <w:r>
              <w:rPr>
                <w:rFonts w:cs="Times New Roman"/>
                <w:sz w:val="19"/>
                <w:rtl/>
              </w:rPr>
              <w:t xml:space="preserve">هذا قالب استرشادي أُعد بالاستناد إلى الأنظمة السارية حتى </w:t>
            </w:r>
            <w:r>
              <w:rPr>
                <w:sz w:val="19"/>
                <w:rtl/>
              </w:rPr>
              <w:t xml:space="preserve">9 </w:t>
            </w:r>
            <w:r>
              <w:rPr>
                <w:rFonts w:cs="Times New Roman"/>
                <w:sz w:val="19"/>
                <w:rtl/>
              </w:rPr>
              <w:t xml:space="preserve">أغسطس </w:t>
            </w:r>
            <w:r>
              <w:rPr>
                <w:sz w:val="19"/>
                <w:rtl/>
              </w:rPr>
              <w:t xml:space="preserve">2026. </w:t>
            </w:r>
            <w:r>
              <w:rPr>
                <w:rFonts w:cs="Times New Roman"/>
                <w:sz w:val="19"/>
                <w:rtl/>
              </w:rPr>
              <w:t>ويجب مواءمته مع لائحة تنظيم العمل والعقود والضوابط القطاعية وإجراءات التحقيق والجزاءات المعتمدة لدى المنشأة</w:t>
            </w:r>
            <w:r>
              <w:rPr>
                <w:sz w:val="19"/>
                <w:rtl/>
              </w:rPr>
              <w:t>.</w:t>
            </w:r>
          </w:p>
        </w:tc>
      </w:tr>
    </w:tbl>
    <w:p w:rsidR="00594DDA" w:rsidRDefault="00594DDA" w:rsidP="00E677CE">
      <w:pPr>
        <w:spacing w:after="0"/>
        <w:jc w:val="left"/>
        <w:rPr>
          <w:rFonts w:hint="eastAsia"/>
        </w:rPr>
      </w:pPr>
    </w:p>
    <w:p w:rsidR="00594DDA" w:rsidRDefault="00BA10EA" w:rsidP="00E677CE">
      <w:pPr>
        <w:spacing w:before="280" w:after="0"/>
        <w:jc w:val="center"/>
        <w:rPr>
          <w:rFonts w:hint="eastAsia"/>
        </w:rPr>
      </w:pPr>
      <w:r>
        <w:rPr>
          <w:rFonts w:cs="Times New Roman"/>
          <w:color w:val="667085"/>
          <w:sz w:val="17"/>
          <w:rtl/>
        </w:rPr>
        <w:t>إعداد استرشادي للنشر ضمن نماذج مجد</w:t>
      </w:r>
    </w:p>
    <w:p w:rsidR="00594DDA" w:rsidRDefault="00BA10EA" w:rsidP="00E677CE">
      <w:pPr>
        <w:jc w:val="left"/>
        <w:rPr>
          <w:rFonts w:hint="eastAsia"/>
        </w:rPr>
      </w:pPr>
      <w:r>
        <w:br w:type="page"/>
      </w:r>
    </w:p>
    <w:p w:rsidR="00594DDA" w:rsidRDefault="00BA10EA" w:rsidP="00E677CE">
      <w:pPr>
        <w:pStyle w:val="1"/>
        <w:jc w:val="left"/>
      </w:pPr>
      <w:r>
        <w:rPr>
          <w:rFonts w:ascii="DejaVu Sans" w:hAnsi="DejaVu Sans" w:cs="DejaVu Sans"/>
          <w:rtl/>
        </w:rPr>
        <w:lastRenderedPageBreak/>
        <w:t xml:space="preserve">1. </w:t>
      </w:r>
      <w:r>
        <w:rPr>
          <w:rFonts w:ascii="DejaVu Sans" w:hAnsi="DejaVu Sans" w:cs="Times New Roman"/>
          <w:rtl/>
        </w:rPr>
        <w:t>الهدف</w:t>
      </w:r>
    </w:p>
    <w:p w:rsidR="00594DDA" w:rsidRDefault="00BA10EA" w:rsidP="00E677CE">
      <w:pPr>
        <w:jc w:val="left"/>
        <w:rPr>
          <w:rFonts w:hint="eastAsia"/>
        </w:rPr>
      </w:pPr>
      <w:r>
        <w:rPr>
          <w:rFonts w:cs="Times New Roman"/>
          <w:rtl/>
        </w:rPr>
        <w:t xml:space="preserve">تهدف </w:t>
      </w:r>
      <w:r>
        <w:rPr>
          <w:rFonts w:cs="Times New Roman"/>
          <w:rtl/>
        </w:rPr>
        <w:t>هذه السياسة إلى تحديد معايير السلوك المهني والنزاهة المتوقعة من جميع المشمولين بها، وحماية كرامة الأفراد وحقوق المنشأة وأصحاب المصلحة، ومنع الممارسات غير المشروعة أو غير الأخلاقية، ووضع قنوات موثوقة للإفصاح والبلاغ والتحقيق والمعالجة دون انتقام</w:t>
      </w:r>
      <w:r>
        <w:rPr>
          <w:rtl/>
        </w:rPr>
        <w:t>.</w:t>
      </w:r>
    </w:p>
    <w:p w:rsidR="00594DDA" w:rsidRDefault="00BA10EA" w:rsidP="00E677CE">
      <w:pPr>
        <w:pStyle w:val="1"/>
        <w:jc w:val="left"/>
      </w:pPr>
      <w:r>
        <w:rPr>
          <w:rFonts w:ascii="DejaVu Sans" w:hAnsi="DejaVu Sans" w:cs="DejaVu Sans"/>
          <w:rtl/>
        </w:rPr>
        <w:t xml:space="preserve">2. </w:t>
      </w:r>
      <w:r>
        <w:rPr>
          <w:rFonts w:ascii="DejaVu Sans" w:hAnsi="DejaVu Sans" w:cs="Times New Roman"/>
          <w:rtl/>
        </w:rPr>
        <w:t>نطاق ال</w:t>
      </w:r>
      <w:r>
        <w:rPr>
          <w:rFonts w:ascii="DejaVu Sans" w:hAnsi="DejaVu Sans" w:cs="Times New Roman"/>
          <w:rtl/>
        </w:rPr>
        <w:t>تطبيق</w:t>
      </w:r>
    </w:p>
    <w:p w:rsidR="00594DDA" w:rsidRDefault="00BA10EA" w:rsidP="00E677CE">
      <w:pPr>
        <w:jc w:val="left"/>
        <w:rPr>
          <w:rFonts w:hint="eastAsia"/>
        </w:rPr>
      </w:pPr>
      <w:r>
        <w:rPr>
          <w:rFonts w:cs="Times New Roman"/>
          <w:rtl/>
        </w:rPr>
        <w:t xml:space="preserve">تسري هذه السياسة على أعضاء مجلس الإدارة والقيادات والموظفين والمتدربين والعمالة المؤقتة، وعلى المقاولين والمستشارين وموردي الخدمات عند تمثيل </w:t>
      </w:r>
      <w:r>
        <w:rPr>
          <w:rtl/>
        </w:rPr>
        <w:t>[</w:t>
      </w:r>
      <w:r>
        <w:rPr>
          <w:rFonts w:cs="Times New Roman"/>
          <w:rtl/>
        </w:rPr>
        <w:t>اسم المنشأة</w:t>
      </w:r>
      <w:r>
        <w:rPr>
          <w:rtl/>
        </w:rPr>
        <w:t xml:space="preserve">] </w:t>
      </w:r>
      <w:r>
        <w:rPr>
          <w:rFonts w:cs="Times New Roman"/>
          <w:rtl/>
        </w:rPr>
        <w:t>أو دخول مواقعها أو استخدام أنظمتها، بالقدر الذي تسمح به العقود والأنظمة</w:t>
      </w:r>
      <w:r>
        <w:rPr>
          <w:rtl/>
        </w:rPr>
        <w:t xml:space="preserve">. </w:t>
      </w:r>
      <w:r>
        <w:rPr>
          <w:rFonts w:cs="Times New Roman"/>
          <w:rtl/>
        </w:rPr>
        <w:t xml:space="preserve">وتطبق داخل مقر العمل </w:t>
      </w:r>
      <w:r>
        <w:rPr>
          <w:rFonts w:cs="Times New Roman"/>
          <w:rtl/>
        </w:rPr>
        <w:t>وخارجه وفي السفر والفعاليات والاجتماعات والمنصات الرقمية متى ارتبط السلوك بالعمل أو أثر في بيئته أو سمعة المنشأة وحقوق الآخرين</w:t>
      </w:r>
      <w:r>
        <w:rPr>
          <w:rtl/>
        </w:rPr>
        <w:t>.</w:t>
      </w:r>
    </w:p>
    <w:p w:rsidR="00594DDA" w:rsidRDefault="00BA10EA" w:rsidP="00E677CE">
      <w:pPr>
        <w:pStyle w:val="1"/>
        <w:jc w:val="left"/>
      </w:pPr>
      <w:r>
        <w:rPr>
          <w:rFonts w:ascii="DejaVu Sans" w:hAnsi="DejaVu Sans" w:cs="DejaVu Sans"/>
          <w:rtl/>
        </w:rPr>
        <w:t xml:space="preserve">3. </w:t>
      </w:r>
      <w:r>
        <w:rPr>
          <w:rFonts w:ascii="DejaVu Sans" w:hAnsi="DejaVu Sans" w:cs="Times New Roman"/>
          <w:rtl/>
        </w:rPr>
        <w:t>المرجعية وأولوية التطبيق</w:t>
      </w:r>
    </w:p>
    <w:p w:rsidR="00594DDA" w:rsidRDefault="00BA10EA" w:rsidP="00E677CE">
      <w:pPr>
        <w:numPr>
          <w:ilvl w:val="0"/>
          <w:numId w:val="2"/>
        </w:numPr>
        <w:jc w:val="left"/>
        <w:rPr>
          <w:rFonts w:hint="eastAsia"/>
        </w:rPr>
      </w:pPr>
      <w:r>
        <w:rPr>
          <w:rFonts w:cs="Times New Roman"/>
          <w:rtl/>
        </w:rPr>
        <w:t>تطبق أحكام نظام العمل السعودي ولائحته التنفيذية ولائحة تنظيم العمل والعقود واللوائح الداخلية المعتمد</w:t>
      </w:r>
      <w:r>
        <w:rPr>
          <w:rFonts w:cs="Times New Roman"/>
          <w:rtl/>
        </w:rPr>
        <w:t>ة</w:t>
      </w:r>
      <w:r>
        <w:rPr>
          <w:rtl/>
        </w:rPr>
        <w:t>.</w:t>
      </w:r>
    </w:p>
    <w:p w:rsidR="00594DDA" w:rsidRDefault="00BA10EA" w:rsidP="00E677CE">
      <w:pPr>
        <w:numPr>
          <w:ilvl w:val="0"/>
          <w:numId w:val="2"/>
        </w:numPr>
        <w:jc w:val="left"/>
        <w:rPr>
          <w:rFonts w:hint="eastAsia"/>
        </w:rPr>
      </w:pPr>
      <w:r>
        <w:rPr>
          <w:rFonts w:cs="Times New Roman"/>
          <w:rtl/>
        </w:rPr>
        <w:t>تراعى ضوابط الحماية من التعديات السلوكية في بيئة العمل، ونظام مكافحة جريمة التحرش، ونظام مكافحة الرشوة، ونظام حماية البيانات الشخصية، ونظام حماية المبلغين والشهود والخبراء والضحايا متى انطبقت أحكامه</w:t>
      </w:r>
      <w:r>
        <w:rPr>
          <w:rtl/>
        </w:rPr>
        <w:t>.</w:t>
      </w:r>
    </w:p>
    <w:p w:rsidR="00594DDA" w:rsidRDefault="00BA10EA" w:rsidP="00E677CE">
      <w:pPr>
        <w:numPr>
          <w:ilvl w:val="0"/>
          <w:numId w:val="2"/>
        </w:numPr>
        <w:jc w:val="left"/>
        <w:rPr>
          <w:rFonts w:hint="eastAsia"/>
        </w:rPr>
      </w:pPr>
      <w:r>
        <w:rPr>
          <w:rFonts w:cs="Times New Roman"/>
          <w:rtl/>
        </w:rPr>
        <w:t>عند التعارض يقدم الحكم النظامي أو التعاقدي الأكثر إلز</w:t>
      </w:r>
      <w:r>
        <w:rPr>
          <w:rFonts w:cs="Times New Roman"/>
          <w:rtl/>
        </w:rPr>
        <w:t>امًا، ولا تمنع هذه السياسة أي شخص من التبليغ إلى جهة مختصة أو ممارسة حق مقرر نظامًا</w:t>
      </w:r>
      <w:r>
        <w:rPr>
          <w:rtl/>
        </w:rPr>
        <w:t>.</w:t>
      </w:r>
    </w:p>
    <w:p w:rsidR="00594DDA" w:rsidRDefault="00BA10EA" w:rsidP="00E677CE">
      <w:pPr>
        <w:pStyle w:val="1"/>
        <w:jc w:val="left"/>
      </w:pPr>
      <w:r>
        <w:rPr>
          <w:rFonts w:ascii="DejaVu Sans" w:hAnsi="DejaVu Sans" w:cs="DejaVu Sans"/>
          <w:rtl/>
        </w:rPr>
        <w:t xml:space="preserve">4. </w:t>
      </w:r>
      <w:r>
        <w:rPr>
          <w:rFonts w:ascii="DejaVu Sans" w:hAnsi="DejaVu Sans" w:cs="Times New Roman"/>
          <w:rtl/>
        </w:rPr>
        <w:t>التعريفات</w:t>
      </w:r>
    </w:p>
    <w:tbl>
      <w:tblPr>
        <w:tblStyle w:val="afa"/>
        <w:tblW w:w="9360" w:type="dxa"/>
        <w:jc w:val="center"/>
        <w:tblLayout w:type="fixed"/>
        <w:tblLook w:val="04A0" w:firstRow="1" w:lastRow="0" w:firstColumn="1" w:lastColumn="0" w:noHBand="0" w:noVBand="1"/>
      </w:tblPr>
      <w:tblGrid>
        <w:gridCol w:w="2300"/>
        <w:gridCol w:w="7060"/>
      </w:tblGrid>
      <w:tr w:rsidR="00594DDA">
        <w:trPr>
          <w:cantSplit/>
          <w:tblHeader/>
          <w:jc w:val="center"/>
        </w:trPr>
        <w:tc>
          <w:tcPr>
            <w:tcW w:w="230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المصطلح</w:t>
            </w:r>
          </w:p>
        </w:tc>
        <w:tc>
          <w:tcPr>
            <w:tcW w:w="706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التعريف</w:t>
            </w:r>
          </w:p>
        </w:tc>
      </w:tr>
      <w:tr w:rsidR="00594DDA">
        <w:trPr>
          <w:cantSplit/>
          <w:jc w:val="center"/>
        </w:trPr>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السلوك المهني</w:t>
            </w:r>
          </w:p>
        </w:tc>
        <w:tc>
          <w:tcPr>
            <w:tcW w:w="7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التصرفات والقرارات والتواصل المتوقع بما ينسجم مع الأنظمة وقيم المنشأة ومصلحة العمل</w:t>
            </w:r>
            <w:r>
              <w:rPr>
                <w:sz w:val="18"/>
                <w:rtl/>
              </w:rPr>
              <w:t>.</w:t>
            </w:r>
          </w:p>
        </w:tc>
      </w:tr>
      <w:tr w:rsidR="00594DDA">
        <w:trPr>
          <w:cantSplit/>
          <w:jc w:val="center"/>
        </w:trPr>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التعدي السلوكي</w:t>
            </w:r>
          </w:p>
        </w:tc>
        <w:tc>
          <w:tcPr>
            <w:tcW w:w="7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أي قول أو فعل أو إشارة أو </w:t>
            </w:r>
            <w:r>
              <w:rPr>
                <w:rFonts w:cs="Times New Roman"/>
                <w:sz w:val="18"/>
                <w:rtl/>
              </w:rPr>
              <w:t>تواصل يتضمن إساءة أو تهديدًا أو تخويفًا أو تحرشًا أو تمييزًا أو مساسًا بالكرامة أو الخصوصية</w:t>
            </w:r>
            <w:r>
              <w:rPr>
                <w:sz w:val="18"/>
                <w:rtl/>
              </w:rPr>
              <w:t>.</w:t>
            </w:r>
          </w:p>
        </w:tc>
      </w:tr>
      <w:tr w:rsidR="00594DDA">
        <w:trPr>
          <w:cantSplit/>
          <w:jc w:val="center"/>
        </w:trPr>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التحرش</w:t>
            </w:r>
          </w:p>
        </w:tc>
        <w:tc>
          <w:tcPr>
            <w:tcW w:w="7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كل قول أو فعل أو إشارة ذات مدلول جنسي تصدر من شخص تجاه آخر وتمس جسده أو عرضه أو حياءه بأي وسيلة، وفق التعريف النظامي</w:t>
            </w:r>
            <w:r>
              <w:rPr>
                <w:sz w:val="18"/>
                <w:rtl/>
              </w:rPr>
              <w:t>.</w:t>
            </w:r>
          </w:p>
        </w:tc>
      </w:tr>
      <w:tr w:rsidR="00594DDA">
        <w:trPr>
          <w:cantSplit/>
          <w:jc w:val="center"/>
        </w:trPr>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التنمر</w:t>
            </w:r>
          </w:p>
        </w:tc>
        <w:tc>
          <w:tcPr>
            <w:tcW w:w="7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سلوك متكرر أو جسيم بقصد الإذل</w:t>
            </w:r>
            <w:r>
              <w:rPr>
                <w:rFonts w:cs="Times New Roman"/>
                <w:sz w:val="18"/>
                <w:rtl/>
              </w:rPr>
              <w:t>ال أو التخويف أو العزل أو تقويض الشخص، ولا يشمل إدارة الأداء الموضوعية أو التوجيه المهني المشروع</w:t>
            </w:r>
            <w:r>
              <w:rPr>
                <w:sz w:val="18"/>
                <w:rtl/>
              </w:rPr>
              <w:t>.</w:t>
            </w:r>
          </w:p>
        </w:tc>
      </w:tr>
      <w:tr w:rsidR="00594DDA">
        <w:trPr>
          <w:cantSplit/>
          <w:jc w:val="center"/>
        </w:trPr>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تعارض المصالح</w:t>
            </w:r>
          </w:p>
        </w:tc>
        <w:tc>
          <w:tcPr>
            <w:tcW w:w="7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حالة تتعارض أو يبدو أنها قد تتعارض فيها مصلحة شخصية أو عائلية أو مالية مع واجبات الشخص تجاه المنشأة</w:t>
            </w:r>
            <w:r>
              <w:rPr>
                <w:sz w:val="18"/>
                <w:rtl/>
              </w:rPr>
              <w:t>.</w:t>
            </w:r>
          </w:p>
        </w:tc>
      </w:tr>
      <w:tr w:rsidR="00594DDA">
        <w:trPr>
          <w:cantSplit/>
          <w:jc w:val="center"/>
        </w:trPr>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الطرف ذو العلاقة</w:t>
            </w:r>
          </w:p>
        </w:tc>
        <w:tc>
          <w:tcPr>
            <w:tcW w:w="7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قريب أو شريك أو جهة يملك</w:t>
            </w:r>
            <w:r>
              <w:rPr>
                <w:rFonts w:cs="Times New Roman"/>
                <w:sz w:val="18"/>
                <w:rtl/>
              </w:rPr>
              <w:t xml:space="preserve"> الشخص فيها مصلحة أو نفوذًا أو تربطه بها علاقة قد تؤثر في حياده</w:t>
            </w:r>
            <w:r>
              <w:rPr>
                <w:sz w:val="18"/>
                <w:rtl/>
              </w:rPr>
              <w:t>.</w:t>
            </w:r>
          </w:p>
        </w:tc>
      </w:tr>
      <w:tr w:rsidR="00594DDA">
        <w:trPr>
          <w:cantSplit/>
          <w:jc w:val="center"/>
        </w:trPr>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الهدية والضيافة</w:t>
            </w:r>
          </w:p>
        </w:tc>
        <w:tc>
          <w:tcPr>
            <w:tcW w:w="7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أي منفعة أو خدمة أو خصم أو سفر أو ترفيه أو شيء ذي قيمة يقدم أو يستقبل بسبب علاقة العمل</w:t>
            </w:r>
            <w:r>
              <w:rPr>
                <w:sz w:val="18"/>
                <w:rtl/>
              </w:rPr>
              <w:t>.</w:t>
            </w:r>
          </w:p>
        </w:tc>
      </w:tr>
      <w:tr w:rsidR="00594DDA">
        <w:trPr>
          <w:cantSplit/>
          <w:jc w:val="center"/>
        </w:trPr>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الرشوة</w:t>
            </w:r>
          </w:p>
        </w:tc>
        <w:tc>
          <w:tcPr>
            <w:tcW w:w="7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طلب أو قبول أو عرض أو تقديم عطية أو منفعة للتأثير غير المشروع في قرار أو عمل </w:t>
            </w:r>
            <w:r>
              <w:rPr>
                <w:rFonts w:cs="Times New Roman"/>
                <w:sz w:val="18"/>
                <w:rtl/>
              </w:rPr>
              <w:t>أو امتناع عنه</w:t>
            </w:r>
            <w:r>
              <w:rPr>
                <w:sz w:val="18"/>
                <w:rtl/>
              </w:rPr>
              <w:t>.</w:t>
            </w:r>
          </w:p>
        </w:tc>
      </w:tr>
      <w:tr w:rsidR="00594DDA">
        <w:trPr>
          <w:cantSplit/>
          <w:jc w:val="center"/>
        </w:trPr>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البلاغ بحسن نية</w:t>
            </w:r>
          </w:p>
        </w:tc>
        <w:tc>
          <w:tcPr>
            <w:tcW w:w="7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إبلاغ يستند إلى اعتقاد معقول بوجود مخالفة، ولو لم تثبت لاحقًا، دون تعمد الكذب أو الكيد</w:t>
            </w:r>
            <w:r>
              <w:rPr>
                <w:sz w:val="18"/>
                <w:rtl/>
              </w:rPr>
              <w:t>.</w:t>
            </w:r>
          </w:p>
        </w:tc>
      </w:tr>
      <w:tr w:rsidR="00594DDA">
        <w:trPr>
          <w:cantSplit/>
          <w:jc w:val="center"/>
        </w:trPr>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lastRenderedPageBreak/>
              <w:t>الانتقام</w:t>
            </w:r>
          </w:p>
        </w:tc>
        <w:tc>
          <w:tcPr>
            <w:tcW w:w="7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أي إجراء ضار أو تهديد أو تمييز بسبب بلاغ أو شهادة أو تعاون مشروع في مراجعة أو تحقيق</w:t>
            </w:r>
            <w:r>
              <w:rPr>
                <w:sz w:val="18"/>
                <w:rtl/>
              </w:rPr>
              <w:t>.</w:t>
            </w:r>
          </w:p>
        </w:tc>
      </w:tr>
      <w:tr w:rsidR="00594DDA">
        <w:trPr>
          <w:cantSplit/>
          <w:jc w:val="center"/>
        </w:trPr>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المعلومات السرية</w:t>
            </w:r>
          </w:p>
        </w:tc>
        <w:tc>
          <w:tcPr>
            <w:tcW w:w="7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المعلومات غير المتاحة ل</w:t>
            </w:r>
            <w:r>
              <w:rPr>
                <w:rFonts w:cs="Times New Roman"/>
                <w:sz w:val="18"/>
                <w:rtl/>
              </w:rPr>
              <w:t>لعامة التي تخص المنشأة أو موظفيها أو عملاءها أو مورديها أو عملياتها</w:t>
            </w:r>
            <w:r>
              <w:rPr>
                <w:sz w:val="18"/>
                <w:rtl/>
              </w:rPr>
              <w:t>.</w:t>
            </w:r>
          </w:p>
        </w:tc>
      </w:tr>
    </w:tbl>
    <w:p w:rsidR="00594DDA" w:rsidRDefault="00594DDA" w:rsidP="00E677CE">
      <w:pPr>
        <w:spacing w:after="0"/>
        <w:jc w:val="left"/>
        <w:rPr>
          <w:rFonts w:hint="eastAsia"/>
        </w:rPr>
      </w:pPr>
    </w:p>
    <w:p w:rsidR="00594DDA" w:rsidRDefault="00BA10EA" w:rsidP="00E677CE">
      <w:pPr>
        <w:pStyle w:val="1"/>
        <w:jc w:val="left"/>
      </w:pPr>
      <w:r>
        <w:rPr>
          <w:rFonts w:ascii="DejaVu Sans" w:hAnsi="DejaVu Sans" w:cs="DejaVu Sans"/>
          <w:rtl/>
        </w:rPr>
        <w:t xml:space="preserve">5. </w:t>
      </w:r>
      <w:r>
        <w:rPr>
          <w:rFonts w:ascii="DejaVu Sans" w:hAnsi="DejaVu Sans" w:cs="Times New Roman"/>
          <w:rtl/>
        </w:rPr>
        <w:t>القيم والمبادئ الحاكمة</w:t>
      </w:r>
    </w:p>
    <w:tbl>
      <w:tblPr>
        <w:tblStyle w:val="afa"/>
        <w:tblW w:w="9360" w:type="dxa"/>
        <w:jc w:val="center"/>
        <w:tblLayout w:type="fixed"/>
        <w:tblLook w:val="04A0" w:firstRow="1" w:lastRow="0" w:firstColumn="1" w:lastColumn="0" w:noHBand="0" w:noVBand="1"/>
      </w:tblPr>
      <w:tblGrid>
        <w:gridCol w:w="2350"/>
        <w:gridCol w:w="7010"/>
      </w:tblGrid>
      <w:tr w:rsidR="00594DDA">
        <w:trPr>
          <w:cantSplit/>
          <w:tblHeader/>
          <w:jc w:val="center"/>
        </w:trPr>
        <w:tc>
          <w:tcPr>
            <w:tcW w:w="235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المبدأ</w:t>
            </w:r>
          </w:p>
        </w:tc>
        <w:tc>
          <w:tcPr>
            <w:tcW w:w="701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السلوك المتوقع</w:t>
            </w:r>
          </w:p>
        </w:tc>
      </w:tr>
      <w:tr w:rsidR="00594DDA">
        <w:trPr>
          <w:cantSplit/>
          <w:jc w:val="center"/>
        </w:trPr>
        <w:tc>
          <w:tcPr>
            <w:tcW w:w="235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النزاهة</w:t>
            </w:r>
          </w:p>
        </w:tc>
        <w:tc>
          <w:tcPr>
            <w:tcW w:w="701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قول الحقيقة، وتجنب التضليل أو إخفاء الوقائع الجوهرية، ورفض أي منفعة غير مشروعة</w:t>
            </w:r>
            <w:r>
              <w:rPr>
                <w:sz w:val="18"/>
                <w:rtl/>
              </w:rPr>
              <w:t>.</w:t>
            </w:r>
          </w:p>
        </w:tc>
      </w:tr>
      <w:tr w:rsidR="00594DDA">
        <w:trPr>
          <w:cantSplit/>
          <w:jc w:val="center"/>
        </w:trPr>
        <w:tc>
          <w:tcPr>
            <w:tcW w:w="235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الاحترام</w:t>
            </w:r>
          </w:p>
        </w:tc>
        <w:tc>
          <w:tcPr>
            <w:tcW w:w="701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صون الكرامة والخصوصية والاختلاف </w:t>
            </w:r>
            <w:r>
              <w:rPr>
                <w:rFonts w:cs="Times New Roman"/>
                <w:sz w:val="18"/>
                <w:rtl/>
              </w:rPr>
              <w:t>المشروع والتعامل المهني دون إساءة أو تمييز</w:t>
            </w:r>
            <w:r>
              <w:rPr>
                <w:sz w:val="18"/>
                <w:rtl/>
              </w:rPr>
              <w:t>.</w:t>
            </w:r>
          </w:p>
        </w:tc>
      </w:tr>
      <w:tr w:rsidR="00594DDA">
        <w:trPr>
          <w:cantSplit/>
          <w:jc w:val="center"/>
        </w:trPr>
        <w:tc>
          <w:tcPr>
            <w:tcW w:w="235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المساءلة</w:t>
            </w:r>
          </w:p>
        </w:tc>
        <w:tc>
          <w:tcPr>
            <w:tcW w:w="701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تحمل نتيجة القرار، والإبلاغ عن الخطأ، وتصحيحه وعدم تحميله للآخرين دون حق</w:t>
            </w:r>
            <w:r>
              <w:rPr>
                <w:sz w:val="18"/>
                <w:rtl/>
              </w:rPr>
              <w:t>.</w:t>
            </w:r>
          </w:p>
        </w:tc>
      </w:tr>
      <w:tr w:rsidR="00594DDA">
        <w:trPr>
          <w:cantSplit/>
          <w:jc w:val="center"/>
        </w:trPr>
        <w:tc>
          <w:tcPr>
            <w:tcW w:w="235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العدالة</w:t>
            </w:r>
          </w:p>
        </w:tc>
        <w:tc>
          <w:tcPr>
            <w:tcW w:w="701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اتخاذ القرارات على أسس موضوعية ومتسقة وتوثيق الاستثناءات والمبررات</w:t>
            </w:r>
            <w:r>
              <w:rPr>
                <w:sz w:val="18"/>
                <w:rtl/>
              </w:rPr>
              <w:t>.</w:t>
            </w:r>
          </w:p>
        </w:tc>
      </w:tr>
      <w:tr w:rsidR="00594DDA">
        <w:trPr>
          <w:cantSplit/>
          <w:jc w:val="center"/>
        </w:trPr>
        <w:tc>
          <w:tcPr>
            <w:tcW w:w="235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السرية</w:t>
            </w:r>
          </w:p>
        </w:tc>
        <w:tc>
          <w:tcPr>
            <w:tcW w:w="701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استخدام المعلومات للغرض المصرح به فقط </w:t>
            </w:r>
            <w:r>
              <w:rPr>
                <w:rFonts w:cs="Times New Roman"/>
                <w:sz w:val="18"/>
                <w:rtl/>
              </w:rPr>
              <w:t>وحمايتها من الوصول أو الإفصاح غير المصرح</w:t>
            </w:r>
            <w:r>
              <w:rPr>
                <w:sz w:val="18"/>
                <w:rtl/>
              </w:rPr>
              <w:t>.</w:t>
            </w:r>
          </w:p>
        </w:tc>
      </w:tr>
      <w:tr w:rsidR="00594DDA">
        <w:trPr>
          <w:cantSplit/>
          <w:jc w:val="center"/>
        </w:trPr>
        <w:tc>
          <w:tcPr>
            <w:tcW w:w="235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الشجاعة المهنية</w:t>
            </w:r>
          </w:p>
        </w:tc>
        <w:tc>
          <w:tcPr>
            <w:tcW w:w="701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طرح المخاوف بحسن نية ورفض التعليمات المخالفة وطلب التوجيه عند الشك</w:t>
            </w:r>
            <w:r>
              <w:rPr>
                <w:sz w:val="18"/>
                <w:rtl/>
              </w:rPr>
              <w:t>.</w:t>
            </w:r>
          </w:p>
        </w:tc>
      </w:tr>
    </w:tbl>
    <w:p w:rsidR="00594DDA" w:rsidRDefault="00594DDA" w:rsidP="00E677CE">
      <w:pPr>
        <w:spacing w:after="0"/>
        <w:jc w:val="left"/>
        <w:rPr>
          <w:rFonts w:hint="eastAsia"/>
        </w:rPr>
      </w:pPr>
    </w:p>
    <w:p w:rsidR="00594DDA" w:rsidRDefault="00BA10EA" w:rsidP="00E677CE">
      <w:pPr>
        <w:pStyle w:val="1"/>
        <w:jc w:val="left"/>
      </w:pPr>
      <w:r>
        <w:rPr>
          <w:rFonts w:ascii="DejaVu Sans" w:hAnsi="DejaVu Sans" w:cs="DejaVu Sans"/>
          <w:rtl/>
        </w:rPr>
        <w:t xml:space="preserve">6. </w:t>
      </w:r>
      <w:r>
        <w:rPr>
          <w:rFonts w:ascii="DejaVu Sans" w:hAnsi="DejaVu Sans" w:cs="Times New Roman"/>
          <w:rtl/>
        </w:rPr>
        <w:t>الالتزامات العامة</w:t>
      </w:r>
    </w:p>
    <w:p w:rsidR="00594DDA" w:rsidRDefault="00BA10EA" w:rsidP="00E677CE">
      <w:pPr>
        <w:numPr>
          <w:ilvl w:val="0"/>
          <w:numId w:val="2"/>
        </w:numPr>
        <w:jc w:val="left"/>
        <w:rPr>
          <w:rFonts w:hint="eastAsia"/>
        </w:rPr>
      </w:pPr>
      <w:r>
        <w:rPr>
          <w:rFonts w:cs="Times New Roman"/>
          <w:rtl/>
        </w:rPr>
        <w:t>قراءة هذه السياسة وفهمها والالتزام بها وطلب التوجيه قبل التصرف عند وجود شك جوهري</w:t>
      </w:r>
      <w:r>
        <w:rPr>
          <w:rtl/>
        </w:rPr>
        <w:t>.</w:t>
      </w:r>
    </w:p>
    <w:p w:rsidR="00594DDA" w:rsidRDefault="00BA10EA" w:rsidP="00E677CE">
      <w:pPr>
        <w:numPr>
          <w:ilvl w:val="0"/>
          <w:numId w:val="2"/>
        </w:numPr>
        <w:jc w:val="left"/>
        <w:rPr>
          <w:rFonts w:hint="eastAsia"/>
        </w:rPr>
      </w:pPr>
      <w:r>
        <w:rPr>
          <w:rFonts w:cs="Times New Roman"/>
          <w:rtl/>
        </w:rPr>
        <w:t>تنفيذ التعليمات المشروعة</w:t>
      </w:r>
      <w:r>
        <w:rPr>
          <w:rFonts w:cs="Times New Roman"/>
          <w:rtl/>
        </w:rPr>
        <w:t xml:space="preserve"> والموثقة، ورفض أو إيقاف أي توجيه يظهر مخالفته للنظام أو السلامة أو النزاهة، مع التصعيد فورًا</w:t>
      </w:r>
      <w:r>
        <w:rPr>
          <w:rtl/>
        </w:rPr>
        <w:t>.</w:t>
      </w:r>
    </w:p>
    <w:p w:rsidR="00594DDA" w:rsidRDefault="00BA10EA" w:rsidP="00E677CE">
      <w:pPr>
        <w:numPr>
          <w:ilvl w:val="0"/>
          <w:numId w:val="2"/>
        </w:numPr>
        <w:jc w:val="left"/>
        <w:rPr>
          <w:rFonts w:hint="eastAsia"/>
        </w:rPr>
      </w:pPr>
      <w:r>
        <w:rPr>
          <w:rFonts w:cs="Times New Roman"/>
          <w:rtl/>
        </w:rPr>
        <w:t>الحفاظ على الترخيص أو الأهلية المهنية اللازمة، وعدم أداء عمل يتجاوز الصلاحية أو الكفاءة دون إشراف مناسب</w:t>
      </w:r>
      <w:r>
        <w:rPr>
          <w:rtl/>
        </w:rPr>
        <w:t>.</w:t>
      </w:r>
    </w:p>
    <w:p w:rsidR="00594DDA" w:rsidRDefault="00BA10EA" w:rsidP="00E677CE">
      <w:pPr>
        <w:numPr>
          <w:ilvl w:val="0"/>
          <w:numId w:val="2"/>
        </w:numPr>
        <w:jc w:val="left"/>
        <w:rPr>
          <w:rFonts w:hint="eastAsia"/>
        </w:rPr>
      </w:pPr>
      <w:r>
        <w:rPr>
          <w:rFonts w:cs="Times New Roman"/>
          <w:rtl/>
        </w:rPr>
        <w:t>التعاون الصادق مع المراجعات والتحقيقات، وحفظ الأدلة، وعد</w:t>
      </w:r>
      <w:r>
        <w:rPr>
          <w:rFonts w:cs="Times New Roman"/>
          <w:rtl/>
        </w:rPr>
        <w:t>م التأثير في الشهود أو إعاقة الوصول إلى المعلومات</w:t>
      </w:r>
      <w:r>
        <w:rPr>
          <w:rtl/>
        </w:rPr>
        <w:t>.</w:t>
      </w:r>
    </w:p>
    <w:p w:rsidR="00594DDA" w:rsidRDefault="00BA10EA" w:rsidP="00E677CE">
      <w:pPr>
        <w:numPr>
          <w:ilvl w:val="0"/>
          <w:numId w:val="2"/>
        </w:numPr>
        <w:jc w:val="left"/>
        <w:rPr>
          <w:rFonts w:hint="eastAsia"/>
        </w:rPr>
      </w:pPr>
      <w:r>
        <w:rPr>
          <w:rFonts w:cs="Times New Roman"/>
          <w:rtl/>
        </w:rPr>
        <w:t xml:space="preserve">إبلاغ </w:t>
      </w:r>
      <w:r>
        <w:rPr>
          <w:rtl/>
        </w:rPr>
        <w:t>[</w:t>
      </w:r>
      <w:r>
        <w:rPr>
          <w:rFonts w:cs="Times New Roman"/>
          <w:rtl/>
        </w:rPr>
        <w:t>المدير</w:t>
      </w:r>
      <w:r>
        <w:rPr>
          <w:rtl/>
        </w:rPr>
        <w:t>/</w:t>
      </w:r>
      <w:r>
        <w:rPr>
          <w:rFonts w:cs="Times New Roman"/>
          <w:rtl/>
        </w:rPr>
        <w:t>الموارد البشرية</w:t>
      </w:r>
      <w:r>
        <w:rPr>
          <w:rtl/>
        </w:rPr>
        <w:t>/</w:t>
      </w:r>
      <w:r>
        <w:rPr>
          <w:rFonts w:cs="Times New Roman"/>
          <w:rtl/>
        </w:rPr>
        <w:t>الالتزام</w:t>
      </w:r>
      <w:r>
        <w:rPr>
          <w:rtl/>
        </w:rPr>
        <w:t xml:space="preserve">] </w:t>
      </w:r>
      <w:r>
        <w:rPr>
          <w:rFonts w:cs="Times New Roman"/>
          <w:rtl/>
        </w:rPr>
        <w:t>عن المخالفات أو المخاطر الجدية وفق القنوات المحددة</w:t>
      </w:r>
      <w:r>
        <w:rPr>
          <w:rtl/>
        </w:rPr>
        <w:t>.</w:t>
      </w:r>
    </w:p>
    <w:p w:rsidR="00594DDA" w:rsidRDefault="00BA10EA" w:rsidP="00E677CE">
      <w:pPr>
        <w:pStyle w:val="1"/>
        <w:jc w:val="left"/>
      </w:pPr>
      <w:r>
        <w:rPr>
          <w:rFonts w:ascii="DejaVu Sans" w:hAnsi="DejaVu Sans" w:cs="DejaVu Sans"/>
          <w:rtl/>
        </w:rPr>
        <w:t xml:space="preserve">7. </w:t>
      </w:r>
      <w:r>
        <w:rPr>
          <w:rFonts w:ascii="DejaVu Sans" w:hAnsi="DejaVu Sans" w:cs="Times New Roman"/>
          <w:rtl/>
        </w:rPr>
        <w:t>الاحترام والمساواة في بيئة العمل</w:t>
      </w:r>
    </w:p>
    <w:p w:rsidR="00594DDA" w:rsidRDefault="00BA10EA" w:rsidP="00E677CE">
      <w:pPr>
        <w:numPr>
          <w:ilvl w:val="0"/>
          <w:numId w:val="2"/>
        </w:numPr>
        <w:jc w:val="left"/>
        <w:rPr>
          <w:rFonts w:hint="eastAsia"/>
        </w:rPr>
      </w:pPr>
      <w:r>
        <w:rPr>
          <w:rFonts w:cs="Times New Roman"/>
          <w:rtl/>
        </w:rPr>
        <w:t xml:space="preserve">يجب أن تقوم العلاقات المهنية على الاحترام والإنصاف والتواصل اللائق، بما يشمل </w:t>
      </w:r>
      <w:r>
        <w:rPr>
          <w:rFonts w:cs="Times New Roman"/>
          <w:rtl/>
        </w:rPr>
        <w:t>الاجتماعات والمراسلات والمنصات الرقمية والعمل عن بعد</w:t>
      </w:r>
      <w:r>
        <w:rPr>
          <w:rtl/>
        </w:rPr>
        <w:t>.</w:t>
      </w:r>
    </w:p>
    <w:p w:rsidR="00594DDA" w:rsidRDefault="00BA10EA" w:rsidP="00E677CE">
      <w:pPr>
        <w:numPr>
          <w:ilvl w:val="0"/>
          <w:numId w:val="2"/>
        </w:numPr>
        <w:jc w:val="left"/>
        <w:rPr>
          <w:rFonts w:hint="eastAsia"/>
        </w:rPr>
      </w:pPr>
      <w:r>
        <w:rPr>
          <w:rFonts w:cs="Times New Roman"/>
          <w:rtl/>
        </w:rPr>
        <w:t>تحظر الإساءة اللفظية أو الجسدية، والصراخ المهين، والتهديد، والسخرية الجارحة، والإشاعات، والعزل المتعمد، وإساءة استخدام السلطة</w:t>
      </w:r>
      <w:r>
        <w:rPr>
          <w:rtl/>
        </w:rPr>
        <w:t>.</w:t>
      </w:r>
    </w:p>
    <w:p w:rsidR="00594DDA" w:rsidRDefault="00BA10EA" w:rsidP="00E677CE">
      <w:pPr>
        <w:numPr>
          <w:ilvl w:val="0"/>
          <w:numId w:val="2"/>
        </w:numPr>
        <w:jc w:val="left"/>
        <w:rPr>
          <w:rFonts w:hint="eastAsia"/>
        </w:rPr>
      </w:pPr>
      <w:r>
        <w:rPr>
          <w:rFonts w:cs="Times New Roman"/>
          <w:rtl/>
        </w:rPr>
        <w:t xml:space="preserve">تحظر القرارات أو المعاملة التمييزية المبنية على صفة يحميها النظام، وتبنى </w:t>
      </w:r>
      <w:r>
        <w:rPr>
          <w:rFonts w:cs="Times New Roman"/>
          <w:rtl/>
        </w:rPr>
        <w:t>القرارات الوظيفية على متطلبات العمل والأداء والكفاءة والأدلة</w:t>
      </w:r>
      <w:r>
        <w:rPr>
          <w:rtl/>
        </w:rPr>
        <w:t>.</w:t>
      </w:r>
    </w:p>
    <w:p w:rsidR="00594DDA" w:rsidRDefault="00BA10EA" w:rsidP="00E677CE">
      <w:pPr>
        <w:numPr>
          <w:ilvl w:val="0"/>
          <w:numId w:val="2"/>
        </w:numPr>
        <w:jc w:val="left"/>
        <w:rPr>
          <w:rFonts w:hint="eastAsia"/>
        </w:rPr>
      </w:pPr>
      <w:r>
        <w:rPr>
          <w:rFonts w:cs="Times New Roman"/>
          <w:rtl/>
        </w:rPr>
        <w:t>لا يعد النقد المهني أو المساءلة أو توزيع العمل أو إدارة الأداء تنمرًا متى كان موضوعيًا ومحترمًا ومتسقًا وخاليًا من الإذلال أو الانتقام</w:t>
      </w:r>
      <w:r>
        <w:rPr>
          <w:rtl/>
        </w:rPr>
        <w:t>.</w:t>
      </w:r>
    </w:p>
    <w:p w:rsidR="00594DDA" w:rsidRDefault="00BA10EA" w:rsidP="00E677CE">
      <w:pPr>
        <w:pStyle w:val="1"/>
        <w:jc w:val="left"/>
      </w:pPr>
      <w:r>
        <w:rPr>
          <w:rFonts w:ascii="DejaVu Sans" w:hAnsi="DejaVu Sans" w:cs="DejaVu Sans"/>
          <w:rtl/>
        </w:rPr>
        <w:lastRenderedPageBreak/>
        <w:t xml:space="preserve">8. </w:t>
      </w:r>
      <w:r>
        <w:rPr>
          <w:rFonts w:ascii="DejaVu Sans" w:hAnsi="DejaVu Sans" w:cs="Times New Roman"/>
          <w:rtl/>
        </w:rPr>
        <w:t>التحرش والتعديات السلوكية</w:t>
      </w:r>
    </w:p>
    <w:p w:rsidR="00594DDA" w:rsidRDefault="00BA10EA" w:rsidP="00E677CE">
      <w:pPr>
        <w:numPr>
          <w:ilvl w:val="0"/>
          <w:numId w:val="2"/>
        </w:numPr>
        <w:jc w:val="left"/>
        <w:rPr>
          <w:rFonts w:hint="eastAsia"/>
        </w:rPr>
      </w:pPr>
      <w:r>
        <w:rPr>
          <w:rFonts w:cs="Times New Roman"/>
          <w:rtl/>
        </w:rPr>
        <w:t>تطبق سياسة عدم التسامح مع الت</w:t>
      </w:r>
      <w:r>
        <w:rPr>
          <w:rFonts w:cs="Times New Roman"/>
          <w:rtl/>
        </w:rPr>
        <w:t>حرش والتعديات السلوكية، سواء وقع السلوك مرة واحدة وكان جسيمًا أو تكرر، وبأي وسيلة مباشرة أو إلكترونية</w:t>
      </w:r>
      <w:r>
        <w:rPr>
          <w:rtl/>
        </w:rPr>
        <w:t>.</w:t>
      </w:r>
    </w:p>
    <w:p w:rsidR="00594DDA" w:rsidRDefault="00BA10EA" w:rsidP="00E677CE">
      <w:pPr>
        <w:numPr>
          <w:ilvl w:val="0"/>
          <w:numId w:val="2"/>
        </w:numPr>
        <w:jc w:val="left"/>
        <w:rPr>
          <w:rFonts w:hint="eastAsia"/>
        </w:rPr>
      </w:pPr>
      <w:r>
        <w:rPr>
          <w:rFonts w:cs="Times New Roman"/>
          <w:rtl/>
        </w:rPr>
        <w:t>تشمل الأمثلة غير الحصرية</w:t>
      </w:r>
      <w:r>
        <w:rPr>
          <w:rtl/>
        </w:rPr>
        <w:t xml:space="preserve">: </w:t>
      </w:r>
      <w:r>
        <w:rPr>
          <w:rFonts w:cs="Times New Roman"/>
          <w:rtl/>
        </w:rPr>
        <w:t>التعليقات أو النكات الجنسية، الرسائل والصور غير الملائمة، اللمس غير المرغوب، الملاحقة، الابتزاز، التلميحات، طلب علاقة مقابل ميز</w:t>
      </w:r>
      <w:r>
        <w:rPr>
          <w:rFonts w:cs="Times New Roman"/>
          <w:rtl/>
        </w:rPr>
        <w:t>ة وظيفية، أو التهديد بحرمان وظيفي</w:t>
      </w:r>
      <w:r>
        <w:rPr>
          <w:rtl/>
        </w:rPr>
        <w:t>.</w:t>
      </w:r>
    </w:p>
    <w:p w:rsidR="00594DDA" w:rsidRDefault="00BA10EA" w:rsidP="00E677CE">
      <w:pPr>
        <w:numPr>
          <w:ilvl w:val="0"/>
          <w:numId w:val="2"/>
        </w:numPr>
        <w:jc w:val="left"/>
        <w:rPr>
          <w:rFonts w:hint="eastAsia"/>
        </w:rPr>
      </w:pPr>
      <w:r>
        <w:rPr>
          <w:rFonts w:cs="Times New Roman"/>
          <w:rtl/>
        </w:rPr>
        <w:t>لا تعفي موافقة سابقة أو علاقة شخصية من احترام الرفض والحدود المهنية، ولا تقبل المصالحة غير الرسمية بديلًا عن الحماية والتحقيق عندما تكون الواقعة جسيمة</w:t>
      </w:r>
      <w:r>
        <w:rPr>
          <w:rtl/>
        </w:rPr>
        <w:t>.</w:t>
      </w:r>
    </w:p>
    <w:p w:rsidR="00594DDA" w:rsidRDefault="00BA10EA" w:rsidP="00E677CE">
      <w:pPr>
        <w:numPr>
          <w:ilvl w:val="0"/>
          <w:numId w:val="2"/>
        </w:numPr>
        <w:jc w:val="left"/>
        <w:rPr>
          <w:rFonts w:hint="eastAsia"/>
        </w:rPr>
      </w:pPr>
      <w:r>
        <w:rPr>
          <w:rFonts w:cs="Times New Roman"/>
          <w:rtl/>
        </w:rPr>
        <w:t>يجوز اتخاذ تدابير حماية مؤقتة غير عقابية، مثل فصل الأطراف أو تغيير خط</w:t>
      </w:r>
      <w:r>
        <w:rPr>
          <w:rFonts w:cs="Times New Roman"/>
          <w:rtl/>
        </w:rPr>
        <w:t xml:space="preserve"> الإبلاغ أو العمل عن بعد، مع مراعاة عدم الإضرار بالمبلّغ أو افتراض الإدانة</w:t>
      </w:r>
      <w:r>
        <w:rPr>
          <w:rtl/>
        </w:rPr>
        <w:t>.</w:t>
      </w:r>
    </w:p>
    <w:tbl>
      <w:tblPr>
        <w:tblStyle w:val="afa"/>
        <w:tblW w:w="9360" w:type="dxa"/>
        <w:jc w:val="center"/>
        <w:tblLayout w:type="fixed"/>
        <w:tblLook w:val="04A0" w:firstRow="1" w:lastRow="0" w:firstColumn="1" w:lastColumn="0" w:noHBand="0" w:noVBand="1"/>
      </w:tblPr>
      <w:tblGrid>
        <w:gridCol w:w="9360"/>
      </w:tblGrid>
      <w:tr w:rsidR="00594DDA">
        <w:trPr>
          <w:cantSplit/>
          <w:jc w:val="center"/>
        </w:trPr>
        <w:tc>
          <w:tcPr>
            <w:tcW w:w="9360" w:type="dxa"/>
            <w:shd w:val="clear" w:color="auto" w:fill="FFF4E5"/>
            <w:tcMar>
              <w:top w:w="100" w:type="dxa"/>
              <w:left w:w="130" w:type="dxa"/>
              <w:bottom w:w="100" w:type="dxa"/>
              <w:right w:w="130" w:type="dxa"/>
            </w:tcMar>
            <w:vAlign w:val="center"/>
          </w:tcPr>
          <w:p w:rsidR="00594DDA" w:rsidRDefault="00BA10EA" w:rsidP="00E677CE">
            <w:pPr>
              <w:spacing w:after="40"/>
              <w:jc w:val="left"/>
              <w:rPr>
                <w:rFonts w:hint="eastAsia"/>
              </w:rPr>
            </w:pPr>
            <w:r>
              <w:rPr>
                <w:rFonts w:cs="Times New Roman"/>
                <w:b/>
                <w:color w:val="A15C00"/>
                <w:sz w:val="20"/>
                <w:rtl/>
              </w:rPr>
              <w:t>خطر فوري</w:t>
            </w:r>
            <w:r>
              <w:rPr>
                <w:b/>
                <w:color w:val="A15C00"/>
                <w:sz w:val="20"/>
                <w:rtl/>
              </w:rPr>
              <w:t xml:space="preserve">: </w:t>
            </w:r>
            <w:r>
              <w:rPr>
                <w:rFonts w:cs="Times New Roman"/>
                <w:sz w:val="19"/>
                <w:rtl/>
              </w:rPr>
              <w:t>عند وجود تهديد للسلامة أو اعتداء قائم، يطلب الدعم الأمني أو الطبي فورًا وتبلغ الجهة المختصة، ثم تخطر القناة الداخلية متى كان ذلك آمنًا</w:t>
            </w:r>
            <w:r>
              <w:rPr>
                <w:sz w:val="19"/>
                <w:rtl/>
              </w:rPr>
              <w:t>.</w:t>
            </w:r>
          </w:p>
        </w:tc>
      </w:tr>
    </w:tbl>
    <w:p w:rsidR="00594DDA" w:rsidRDefault="00594DDA" w:rsidP="00E677CE">
      <w:pPr>
        <w:spacing w:after="0"/>
        <w:jc w:val="left"/>
        <w:rPr>
          <w:rFonts w:hint="eastAsia"/>
        </w:rPr>
      </w:pPr>
    </w:p>
    <w:p w:rsidR="00594DDA" w:rsidRDefault="00BA10EA" w:rsidP="00E677CE">
      <w:pPr>
        <w:pStyle w:val="1"/>
        <w:jc w:val="left"/>
      </w:pPr>
      <w:r>
        <w:rPr>
          <w:rFonts w:ascii="DejaVu Sans" w:hAnsi="DejaVu Sans" w:cs="DejaVu Sans"/>
          <w:rtl/>
        </w:rPr>
        <w:t xml:space="preserve">9. </w:t>
      </w:r>
      <w:r>
        <w:rPr>
          <w:rFonts w:ascii="DejaVu Sans" w:hAnsi="DejaVu Sans" w:cs="Times New Roman"/>
          <w:rtl/>
        </w:rPr>
        <w:t>تعارض المصالح</w:t>
      </w:r>
    </w:p>
    <w:p w:rsidR="00594DDA" w:rsidRDefault="00BA10EA" w:rsidP="00E677CE">
      <w:pPr>
        <w:jc w:val="left"/>
        <w:rPr>
          <w:rFonts w:hint="eastAsia"/>
        </w:rPr>
      </w:pPr>
      <w:r>
        <w:rPr>
          <w:rFonts w:cs="Times New Roman"/>
          <w:rtl/>
        </w:rPr>
        <w:t>يجب الإفصاح قبل</w:t>
      </w:r>
      <w:r>
        <w:rPr>
          <w:rFonts w:cs="Times New Roman"/>
          <w:rtl/>
        </w:rPr>
        <w:t xml:space="preserve"> المشاركة في القرار، ولا تكفي سلامة النية إذا كان التعارض قائمًا أو ظاهرًا للغير</w:t>
      </w:r>
      <w:r>
        <w:rPr>
          <w:rtl/>
        </w:rPr>
        <w:t xml:space="preserve">. </w:t>
      </w:r>
      <w:r>
        <w:rPr>
          <w:rFonts w:cs="Times New Roman"/>
          <w:rtl/>
        </w:rPr>
        <w:t>الإفصاح لا يعني تلقائيًا وجود مخالفة، بل يسمح بوضع معالجة مناسبة</w:t>
      </w:r>
      <w:r>
        <w:rPr>
          <w:rtl/>
        </w:rPr>
        <w:t>.</w:t>
      </w:r>
    </w:p>
    <w:tbl>
      <w:tblPr>
        <w:tblStyle w:val="afa"/>
        <w:tblW w:w="9360" w:type="dxa"/>
        <w:jc w:val="center"/>
        <w:tblLayout w:type="fixed"/>
        <w:tblLook w:val="04A0" w:firstRow="1" w:lastRow="0" w:firstColumn="1" w:lastColumn="0" w:noHBand="0" w:noVBand="1"/>
      </w:tblPr>
      <w:tblGrid>
        <w:gridCol w:w="3900"/>
        <w:gridCol w:w="5460"/>
      </w:tblGrid>
      <w:tr w:rsidR="00594DDA">
        <w:trPr>
          <w:cantSplit/>
          <w:tblHeader/>
          <w:jc w:val="center"/>
        </w:trPr>
        <w:tc>
          <w:tcPr>
            <w:tcW w:w="390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الحالة</w:t>
            </w:r>
          </w:p>
        </w:tc>
        <w:tc>
          <w:tcPr>
            <w:tcW w:w="546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المعالجة المطلوبة</w:t>
            </w:r>
          </w:p>
        </w:tc>
      </w:tr>
      <w:tr w:rsidR="00594DDA">
        <w:trPr>
          <w:cantSplit/>
          <w:jc w:val="center"/>
        </w:trPr>
        <w:tc>
          <w:tcPr>
            <w:tcW w:w="3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توظيف أو تقييم أو ترقية قريب أو شخص تربطه علاقة مؤثرة</w:t>
            </w:r>
          </w:p>
        </w:tc>
        <w:tc>
          <w:tcPr>
            <w:tcW w:w="5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الإفصاح والامتناع عن القرار </w:t>
            </w:r>
            <w:r>
              <w:rPr>
                <w:rFonts w:cs="Times New Roman"/>
                <w:sz w:val="18"/>
                <w:rtl/>
              </w:rPr>
              <w:t>وإسناده لطرف مستقل</w:t>
            </w:r>
            <w:r>
              <w:rPr>
                <w:sz w:val="18"/>
                <w:rtl/>
              </w:rPr>
              <w:t>.</w:t>
            </w:r>
          </w:p>
        </w:tc>
      </w:tr>
      <w:tr w:rsidR="00594DDA">
        <w:trPr>
          <w:cantSplit/>
          <w:jc w:val="center"/>
        </w:trPr>
        <w:tc>
          <w:tcPr>
            <w:tcW w:w="3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ملكية أو مصلحة في مورد أو عميل أو منافس</w:t>
            </w:r>
          </w:p>
        </w:tc>
        <w:tc>
          <w:tcPr>
            <w:tcW w:w="5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الإفصاح قبل التفاوض أو الاختيار وتقييم الاستبعاد أو الضوابط</w:t>
            </w:r>
            <w:r>
              <w:rPr>
                <w:sz w:val="18"/>
                <w:rtl/>
              </w:rPr>
              <w:t>.</w:t>
            </w:r>
          </w:p>
        </w:tc>
      </w:tr>
      <w:tr w:rsidR="00594DDA">
        <w:trPr>
          <w:cantSplit/>
          <w:jc w:val="center"/>
        </w:trPr>
        <w:tc>
          <w:tcPr>
            <w:tcW w:w="3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عمل خارجي أو عضوية مجلس أو استشارة</w:t>
            </w:r>
          </w:p>
        </w:tc>
        <w:tc>
          <w:tcPr>
            <w:tcW w:w="5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موافقة مسبقة عند التأثير في الوقت أو السرية أو المنافسة أو الحياد</w:t>
            </w:r>
            <w:r>
              <w:rPr>
                <w:sz w:val="18"/>
                <w:rtl/>
              </w:rPr>
              <w:t>.</w:t>
            </w:r>
          </w:p>
        </w:tc>
      </w:tr>
      <w:tr w:rsidR="00594DDA">
        <w:trPr>
          <w:cantSplit/>
          <w:jc w:val="center"/>
        </w:trPr>
        <w:tc>
          <w:tcPr>
            <w:tcW w:w="3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فرصة تجارية عرفت بسبب الوظيفة</w:t>
            </w:r>
          </w:p>
        </w:tc>
        <w:tc>
          <w:tcPr>
            <w:tcW w:w="5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عدم استغلالها شخصيًا أو تحويلها لطرف ذي علاقة دون موافقة موثقة</w:t>
            </w:r>
            <w:r>
              <w:rPr>
                <w:sz w:val="18"/>
                <w:rtl/>
              </w:rPr>
              <w:t>.</w:t>
            </w:r>
          </w:p>
        </w:tc>
      </w:tr>
      <w:tr w:rsidR="00594DDA">
        <w:trPr>
          <w:cantSplit/>
          <w:jc w:val="center"/>
        </w:trPr>
        <w:tc>
          <w:tcPr>
            <w:tcW w:w="3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تداول أو قرار بناء على معلومة غير معلنة</w:t>
            </w:r>
          </w:p>
        </w:tc>
        <w:tc>
          <w:tcPr>
            <w:tcW w:w="5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الامتناع والحفاظ على السرية وطلب توجيه الالتزام</w:t>
            </w:r>
            <w:r>
              <w:rPr>
                <w:sz w:val="18"/>
                <w:rtl/>
              </w:rPr>
              <w:t>.</w:t>
            </w:r>
          </w:p>
        </w:tc>
      </w:tr>
    </w:tbl>
    <w:p w:rsidR="00594DDA" w:rsidRDefault="00594DDA" w:rsidP="00E677CE">
      <w:pPr>
        <w:spacing w:after="0"/>
        <w:jc w:val="left"/>
        <w:rPr>
          <w:rFonts w:hint="eastAsia"/>
        </w:rPr>
      </w:pPr>
    </w:p>
    <w:p w:rsidR="00594DDA" w:rsidRDefault="00BA10EA" w:rsidP="00E677CE">
      <w:pPr>
        <w:numPr>
          <w:ilvl w:val="0"/>
          <w:numId w:val="2"/>
        </w:numPr>
        <w:jc w:val="left"/>
        <w:rPr>
          <w:rFonts w:hint="eastAsia"/>
        </w:rPr>
      </w:pPr>
      <w:r>
        <w:rPr>
          <w:rFonts w:cs="Times New Roman"/>
          <w:rtl/>
        </w:rPr>
        <w:t xml:space="preserve">يحدث الإفصاح عند التعيين، سنويًا، وعند تغير الظروف، وعلى </w:t>
      </w:r>
      <w:r>
        <w:rPr>
          <w:rtl/>
        </w:rPr>
        <w:t>[</w:t>
      </w:r>
      <w:r>
        <w:rPr>
          <w:rFonts w:cs="Times New Roman"/>
          <w:rtl/>
        </w:rPr>
        <w:t>الجهة المختصة</w:t>
      </w:r>
      <w:r>
        <w:rPr>
          <w:rtl/>
        </w:rPr>
        <w:t xml:space="preserve">] </w:t>
      </w:r>
      <w:r>
        <w:rPr>
          <w:rFonts w:cs="Times New Roman"/>
          <w:rtl/>
        </w:rPr>
        <w:t xml:space="preserve">توثيق القرار والضوابط ومدة </w:t>
      </w:r>
      <w:r>
        <w:rPr>
          <w:rFonts w:cs="Times New Roman"/>
          <w:rtl/>
        </w:rPr>
        <w:t>سريانها</w:t>
      </w:r>
      <w:r>
        <w:rPr>
          <w:rtl/>
        </w:rPr>
        <w:t>.</w:t>
      </w:r>
    </w:p>
    <w:p w:rsidR="00594DDA" w:rsidRDefault="00BA10EA" w:rsidP="00E677CE">
      <w:pPr>
        <w:numPr>
          <w:ilvl w:val="0"/>
          <w:numId w:val="2"/>
        </w:numPr>
        <w:jc w:val="left"/>
        <w:rPr>
          <w:rFonts w:hint="eastAsia"/>
        </w:rPr>
      </w:pPr>
      <w:r>
        <w:rPr>
          <w:rFonts w:cs="Times New Roman"/>
          <w:rtl/>
        </w:rPr>
        <w:t>لا يشارك الشخص في التوصية أو التصويت أو الوصول إلى معلومات القرار حتى تصدر معالجة مكتوبة</w:t>
      </w:r>
      <w:r>
        <w:rPr>
          <w:rtl/>
        </w:rPr>
        <w:t>.</w:t>
      </w:r>
    </w:p>
    <w:p w:rsidR="00594DDA" w:rsidRDefault="00BA10EA" w:rsidP="00E677CE">
      <w:pPr>
        <w:pStyle w:val="1"/>
        <w:jc w:val="left"/>
      </w:pPr>
      <w:r>
        <w:rPr>
          <w:rFonts w:ascii="DejaVu Sans" w:hAnsi="DejaVu Sans" w:cs="DejaVu Sans"/>
          <w:rtl/>
        </w:rPr>
        <w:t xml:space="preserve">10. </w:t>
      </w:r>
      <w:r>
        <w:rPr>
          <w:rFonts w:ascii="DejaVu Sans" w:hAnsi="DejaVu Sans" w:cs="Times New Roman"/>
          <w:rtl/>
        </w:rPr>
        <w:t>الهدايا والضيافة والمجاملات</w:t>
      </w:r>
    </w:p>
    <w:tbl>
      <w:tblPr>
        <w:tblStyle w:val="afa"/>
        <w:tblW w:w="9360" w:type="dxa"/>
        <w:jc w:val="center"/>
        <w:tblLayout w:type="fixed"/>
        <w:tblLook w:val="04A0" w:firstRow="1" w:lastRow="0" w:firstColumn="1" w:lastColumn="0" w:noHBand="0" w:noVBand="1"/>
      </w:tblPr>
      <w:tblGrid>
        <w:gridCol w:w="3900"/>
        <w:gridCol w:w="5460"/>
      </w:tblGrid>
      <w:tr w:rsidR="00594DDA">
        <w:trPr>
          <w:cantSplit/>
          <w:tblHeader/>
          <w:jc w:val="center"/>
        </w:trPr>
        <w:tc>
          <w:tcPr>
            <w:tcW w:w="390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الحالة</w:t>
            </w:r>
          </w:p>
        </w:tc>
        <w:tc>
          <w:tcPr>
            <w:tcW w:w="546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القاعدة</w:t>
            </w:r>
          </w:p>
        </w:tc>
      </w:tr>
      <w:tr w:rsidR="00594DDA">
        <w:trPr>
          <w:cantSplit/>
          <w:jc w:val="center"/>
        </w:trPr>
        <w:tc>
          <w:tcPr>
            <w:tcW w:w="3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نقد أو ما يعادله أو قسائم قابلة للتحويل</w:t>
            </w:r>
          </w:p>
        </w:tc>
        <w:tc>
          <w:tcPr>
            <w:tcW w:w="5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ممنوع قبولًا وتقديمًا</w:t>
            </w:r>
            <w:r>
              <w:rPr>
                <w:sz w:val="18"/>
                <w:rtl/>
              </w:rPr>
              <w:t>.</w:t>
            </w:r>
          </w:p>
        </w:tc>
      </w:tr>
      <w:tr w:rsidR="00594DDA">
        <w:trPr>
          <w:cantSplit/>
          <w:jc w:val="center"/>
        </w:trPr>
        <w:tc>
          <w:tcPr>
            <w:tcW w:w="3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هدية أو ضيافة مرتبطة بقرار أو مناقصة أو تفتيش</w:t>
            </w:r>
          </w:p>
        </w:tc>
        <w:tc>
          <w:tcPr>
            <w:tcW w:w="5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ممنوعة ولو كانت منخفضة القيمة</w:t>
            </w:r>
            <w:r>
              <w:rPr>
                <w:sz w:val="18"/>
                <w:rtl/>
              </w:rPr>
              <w:t>.</w:t>
            </w:r>
          </w:p>
        </w:tc>
      </w:tr>
      <w:tr w:rsidR="00594DDA">
        <w:trPr>
          <w:cantSplit/>
          <w:jc w:val="center"/>
        </w:trPr>
        <w:tc>
          <w:tcPr>
            <w:tcW w:w="3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lastRenderedPageBreak/>
              <w:t>مجاملة رمزية مشروعة</w:t>
            </w:r>
          </w:p>
        </w:tc>
        <w:tc>
          <w:tcPr>
            <w:tcW w:w="5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تخضع لحد </w:t>
            </w:r>
            <w:r>
              <w:rPr>
                <w:sz w:val="18"/>
                <w:rtl/>
              </w:rPr>
              <w:t>[</w:t>
            </w:r>
            <w:r>
              <w:rPr>
                <w:rFonts w:cs="Times New Roman"/>
                <w:sz w:val="18"/>
                <w:rtl/>
              </w:rPr>
              <w:t>المبلغ</w:t>
            </w:r>
            <w:r>
              <w:rPr>
                <w:sz w:val="18"/>
                <w:rtl/>
              </w:rPr>
              <w:t xml:space="preserve">] </w:t>
            </w:r>
            <w:r>
              <w:rPr>
                <w:rFonts w:cs="Times New Roman"/>
                <w:sz w:val="18"/>
                <w:rtl/>
              </w:rPr>
              <w:t>وللتسجيل أو الموافقة حسب الجدول المعتمد</w:t>
            </w:r>
            <w:r>
              <w:rPr>
                <w:sz w:val="18"/>
                <w:rtl/>
              </w:rPr>
              <w:t>.</w:t>
            </w:r>
          </w:p>
        </w:tc>
      </w:tr>
      <w:tr w:rsidR="00594DDA">
        <w:trPr>
          <w:cantSplit/>
          <w:jc w:val="center"/>
        </w:trPr>
        <w:tc>
          <w:tcPr>
            <w:tcW w:w="3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سفر أو إقامة أو ترفيه من طرف خارجي</w:t>
            </w:r>
          </w:p>
        </w:tc>
        <w:tc>
          <w:tcPr>
            <w:tcW w:w="5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يتطلب موافقة مسبقة ومبرر عمل واضح، والأصل أن تتحمل المنشأة التكلفة</w:t>
            </w:r>
            <w:r>
              <w:rPr>
                <w:sz w:val="18"/>
                <w:rtl/>
              </w:rPr>
              <w:t>.</w:t>
            </w:r>
          </w:p>
        </w:tc>
      </w:tr>
      <w:tr w:rsidR="00594DDA">
        <w:trPr>
          <w:cantSplit/>
          <w:jc w:val="center"/>
        </w:trPr>
        <w:tc>
          <w:tcPr>
            <w:tcW w:w="3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هدية يتعذر رفضها دون حرج جوهري</w:t>
            </w:r>
          </w:p>
        </w:tc>
        <w:tc>
          <w:tcPr>
            <w:tcW w:w="5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تستلم </w:t>
            </w:r>
            <w:r>
              <w:rPr>
                <w:rFonts w:cs="Times New Roman"/>
                <w:sz w:val="18"/>
                <w:rtl/>
              </w:rPr>
              <w:t>باسم المنشأة وتسلم للجهة المختصة للتصرف الموثق</w:t>
            </w:r>
            <w:r>
              <w:rPr>
                <w:sz w:val="18"/>
                <w:rtl/>
              </w:rPr>
              <w:t>.</w:t>
            </w:r>
          </w:p>
        </w:tc>
      </w:tr>
    </w:tbl>
    <w:p w:rsidR="00594DDA" w:rsidRDefault="00594DDA" w:rsidP="00E677CE">
      <w:pPr>
        <w:spacing w:after="0"/>
        <w:jc w:val="left"/>
        <w:rPr>
          <w:rFonts w:hint="eastAsia"/>
        </w:rPr>
      </w:pPr>
    </w:p>
    <w:p w:rsidR="00594DDA" w:rsidRDefault="00BA10EA" w:rsidP="00E677CE">
      <w:pPr>
        <w:numPr>
          <w:ilvl w:val="0"/>
          <w:numId w:val="2"/>
        </w:numPr>
        <w:jc w:val="left"/>
        <w:rPr>
          <w:rFonts w:hint="eastAsia"/>
        </w:rPr>
      </w:pPr>
      <w:r>
        <w:rPr>
          <w:rFonts w:cs="Times New Roman"/>
          <w:rtl/>
        </w:rPr>
        <w:t xml:space="preserve">يمنع تقسيم الهدية أو تكرارها للتحايل على الحد، وتجمع القيم من المصدر نفسه خلال </w:t>
      </w:r>
      <w:r>
        <w:rPr>
          <w:rtl/>
        </w:rPr>
        <w:t>[</w:t>
      </w:r>
      <w:r>
        <w:rPr>
          <w:rFonts w:cs="Times New Roman"/>
          <w:rtl/>
        </w:rPr>
        <w:t>السنة</w:t>
      </w:r>
      <w:r>
        <w:rPr>
          <w:rtl/>
        </w:rPr>
        <w:t>/</w:t>
      </w:r>
      <w:r>
        <w:rPr>
          <w:rFonts w:cs="Times New Roman"/>
          <w:rtl/>
        </w:rPr>
        <w:t>الفترة</w:t>
      </w:r>
      <w:r>
        <w:rPr>
          <w:rtl/>
        </w:rPr>
        <w:t>].</w:t>
      </w:r>
    </w:p>
    <w:p w:rsidR="00594DDA" w:rsidRDefault="00BA10EA" w:rsidP="00E677CE">
      <w:pPr>
        <w:numPr>
          <w:ilvl w:val="0"/>
          <w:numId w:val="2"/>
        </w:numPr>
        <w:jc w:val="left"/>
        <w:rPr>
          <w:rFonts w:hint="eastAsia"/>
        </w:rPr>
      </w:pPr>
      <w:r>
        <w:rPr>
          <w:rFonts w:cs="Times New Roman"/>
          <w:rtl/>
        </w:rPr>
        <w:t>لا تقدم هدية أو ضيافة باسم المنشأة إلا لغرض مشروع وبموافقة وسجل ومستندات صحيحة ودون توقع مقابل</w:t>
      </w:r>
      <w:r>
        <w:rPr>
          <w:rtl/>
        </w:rPr>
        <w:t>.</w:t>
      </w:r>
    </w:p>
    <w:p w:rsidR="00594DDA" w:rsidRDefault="00BA10EA" w:rsidP="00E677CE">
      <w:pPr>
        <w:pStyle w:val="1"/>
        <w:jc w:val="left"/>
      </w:pPr>
      <w:r>
        <w:rPr>
          <w:rFonts w:ascii="DejaVu Sans" w:hAnsi="DejaVu Sans" w:cs="DejaVu Sans"/>
          <w:rtl/>
        </w:rPr>
        <w:t xml:space="preserve">11. </w:t>
      </w:r>
      <w:r>
        <w:rPr>
          <w:rFonts w:ascii="DejaVu Sans" w:hAnsi="DejaVu Sans" w:cs="Times New Roman"/>
          <w:rtl/>
        </w:rPr>
        <w:t>مكافحة الرش</w:t>
      </w:r>
      <w:r>
        <w:rPr>
          <w:rFonts w:ascii="DejaVu Sans" w:hAnsi="DejaVu Sans" w:cs="Times New Roman"/>
          <w:rtl/>
        </w:rPr>
        <w:t>وة والفساد والاحتيال</w:t>
      </w:r>
    </w:p>
    <w:p w:rsidR="00594DDA" w:rsidRDefault="00BA10EA" w:rsidP="00E677CE">
      <w:pPr>
        <w:numPr>
          <w:ilvl w:val="0"/>
          <w:numId w:val="2"/>
        </w:numPr>
        <w:jc w:val="left"/>
        <w:rPr>
          <w:rFonts w:hint="eastAsia"/>
        </w:rPr>
      </w:pPr>
      <w:r>
        <w:rPr>
          <w:rFonts w:cs="Times New Roman"/>
          <w:rtl/>
        </w:rPr>
        <w:t>يحظر طلب أو قبول أو عرض أو تقديم رشوة أو عمولة خفية أو دفعة تسهيل أو منفعة غير مشروعة، مباشرة أو عبر وسيط</w:t>
      </w:r>
      <w:r>
        <w:rPr>
          <w:rtl/>
        </w:rPr>
        <w:t>.</w:t>
      </w:r>
    </w:p>
    <w:p w:rsidR="00594DDA" w:rsidRDefault="00BA10EA" w:rsidP="00E677CE">
      <w:pPr>
        <w:numPr>
          <w:ilvl w:val="0"/>
          <w:numId w:val="2"/>
        </w:numPr>
        <w:jc w:val="left"/>
        <w:rPr>
          <w:rFonts w:hint="eastAsia"/>
        </w:rPr>
      </w:pPr>
      <w:r>
        <w:rPr>
          <w:rFonts w:cs="Times New Roman"/>
          <w:rtl/>
        </w:rPr>
        <w:t>يحظر تزوير الفواتير أو المصروفات أو السجلات أو التوقيعات أو بيانات الوقت والأداء، وإخفاء العمولات أو تضخيم الأسعار أو التواطؤ</w:t>
      </w:r>
      <w:r>
        <w:rPr>
          <w:rtl/>
        </w:rPr>
        <w:t>.</w:t>
      </w:r>
    </w:p>
    <w:p w:rsidR="00594DDA" w:rsidRDefault="00BA10EA" w:rsidP="00E677CE">
      <w:pPr>
        <w:numPr>
          <w:ilvl w:val="0"/>
          <w:numId w:val="2"/>
        </w:numPr>
        <w:jc w:val="left"/>
        <w:rPr>
          <w:rFonts w:hint="eastAsia"/>
        </w:rPr>
      </w:pPr>
      <w:r>
        <w:rPr>
          <w:rFonts w:cs="Times New Roman"/>
          <w:rtl/>
        </w:rPr>
        <w:t>ت</w:t>
      </w:r>
      <w:r>
        <w:rPr>
          <w:rFonts w:cs="Times New Roman"/>
          <w:rtl/>
        </w:rPr>
        <w:t>خضع الأطراف الوسيطة والفنية والاستشارية للفحص المتناسب مع المخاطر، ولعقد واضح وأتعاب معقولة وخدمة مثبتة ومستفيد نهائي معلوم متى لزم</w:t>
      </w:r>
      <w:r>
        <w:rPr>
          <w:rtl/>
        </w:rPr>
        <w:t>.</w:t>
      </w:r>
    </w:p>
    <w:p w:rsidR="00594DDA" w:rsidRDefault="00BA10EA" w:rsidP="00E677CE">
      <w:pPr>
        <w:numPr>
          <w:ilvl w:val="0"/>
          <w:numId w:val="2"/>
        </w:numPr>
        <w:jc w:val="left"/>
        <w:rPr>
          <w:rFonts w:hint="eastAsia"/>
        </w:rPr>
      </w:pPr>
      <w:r>
        <w:rPr>
          <w:rFonts w:cs="Times New Roman"/>
          <w:rtl/>
        </w:rPr>
        <w:t>أي طلب دفع غير معتاد، أو حساب لطرف ثالث، أو دولة غير مرتبطة، أو عمولة غير مبررة، يوقف ويصعد قبل الالتزام أو الدفع</w:t>
      </w:r>
      <w:r>
        <w:rPr>
          <w:rtl/>
        </w:rPr>
        <w:t>.</w:t>
      </w:r>
    </w:p>
    <w:p w:rsidR="00594DDA" w:rsidRDefault="00BA10EA" w:rsidP="00E677CE">
      <w:pPr>
        <w:numPr>
          <w:ilvl w:val="0"/>
          <w:numId w:val="2"/>
        </w:numPr>
        <w:jc w:val="left"/>
        <w:rPr>
          <w:rFonts w:hint="eastAsia"/>
        </w:rPr>
      </w:pPr>
      <w:r>
        <w:rPr>
          <w:rFonts w:cs="Times New Roman"/>
          <w:rtl/>
        </w:rPr>
        <w:t>لا تعاقب</w:t>
      </w:r>
      <w:r>
        <w:rPr>
          <w:rFonts w:cs="Times New Roman"/>
          <w:rtl/>
        </w:rPr>
        <w:t xml:space="preserve"> المنشأة من يرفض بحسن نية معاملة يعتقد على أسس معقولة أنها تنطوي على رشوة أو فساد</w:t>
      </w:r>
      <w:r>
        <w:rPr>
          <w:rtl/>
        </w:rPr>
        <w:t>.</w:t>
      </w:r>
    </w:p>
    <w:p w:rsidR="00594DDA" w:rsidRDefault="00BA10EA" w:rsidP="00E677CE">
      <w:pPr>
        <w:pStyle w:val="1"/>
        <w:jc w:val="left"/>
      </w:pPr>
      <w:r>
        <w:rPr>
          <w:rFonts w:ascii="DejaVu Sans" w:hAnsi="DejaVu Sans" w:cs="DejaVu Sans"/>
          <w:rtl/>
        </w:rPr>
        <w:t xml:space="preserve">12. </w:t>
      </w:r>
      <w:r>
        <w:rPr>
          <w:rFonts w:ascii="DejaVu Sans" w:hAnsi="DejaVu Sans" w:cs="Times New Roman"/>
          <w:rtl/>
        </w:rPr>
        <w:t>التعامل العادل مع العملاء والموردين والمنافسين</w:t>
      </w:r>
    </w:p>
    <w:p w:rsidR="00594DDA" w:rsidRDefault="00BA10EA" w:rsidP="00E677CE">
      <w:pPr>
        <w:numPr>
          <w:ilvl w:val="0"/>
          <w:numId w:val="2"/>
        </w:numPr>
        <w:jc w:val="left"/>
        <w:rPr>
          <w:rFonts w:hint="eastAsia"/>
        </w:rPr>
      </w:pPr>
      <w:r>
        <w:rPr>
          <w:rFonts w:cs="Times New Roman"/>
          <w:rtl/>
        </w:rPr>
        <w:t>تقدم معلومات دقيقة عن المنتجات والخدمات والقدرات والأسعار، ولا تستخدم ادعاءات مضللة أو وعود غير معتمدة</w:t>
      </w:r>
      <w:r>
        <w:rPr>
          <w:rtl/>
        </w:rPr>
        <w:t>.</w:t>
      </w:r>
    </w:p>
    <w:p w:rsidR="00594DDA" w:rsidRDefault="00BA10EA" w:rsidP="00E677CE">
      <w:pPr>
        <w:numPr>
          <w:ilvl w:val="0"/>
          <w:numId w:val="2"/>
        </w:numPr>
        <w:jc w:val="left"/>
        <w:rPr>
          <w:rFonts w:hint="eastAsia"/>
        </w:rPr>
      </w:pPr>
      <w:r>
        <w:rPr>
          <w:rFonts w:cs="Times New Roman"/>
          <w:rtl/>
        </w:rPr>
        <w:t>تختار الجهات المتع</w:t>
      </w:r>
      <w:r>
        <w:rPr>
          <w:rFonts w:cs="Times New Roman"/>
          <w:rtl/>
        </w:rPr>
        <w:t>اقدة وفق معايير موثقة مثل الجودة والسعر والقدرة والامتثال، مع فصل الطلب والتقييم والاعتماد والاستلام والدفع بقدر الإمكان</w:t>
      </w:r>
      <w:r>
        <w:rPr>
          <w:rtl/>
        </w:rPr>
        <w:t>.</w:t>
      </w:r>
    </w:p>
    <w:p w:rsidR="00594DDA" w:rsidRDefault="00BA10EA" w:rsidP="00E677CE">
      <w:pPr>
        <w:numPr>
          <w:ilvl w:val="0"/>
          <w:numId w:val="2"/>
        </w:numPr>
        <w:jc w:val="left"/>
        <w:rPr>
          <w:rFonts w:hint="eastAsia"/>
        </w:rPr>
      </w:pPr>
      <w:r>
        <w:rPr>
          <w:rFonts w:cs="Times New Roman"/>
          <w:rtl/>
        </w:rPr>
        <w:t>تحظر الاتفاقات غير المشروعة لتثبيت الأسعار أو تقسيم السوق أو التلاعب بالعطاءات، وتطلب المشورة النظامية عند الشك</w:t>
      </w:r>
      <w:r>
        <w:rPr>
          <w:rtl/>
        </w:rPr>
        <w:t>.</w:t>
      </w:r>
    </w:p>
    <w:p w:rsidR="00594DDA" w:rsidRDefault="00BA10EA" w:rsidP="00E677CE">
      <w:pPr>
        <w:numPr>
          <w:ilvl w:val="0"/>
          <w:numId w:val="2"/>
        </w:numPr>
        <w:jc w:val="left"/>
        <w:rPr>
          <w:rFonts w:hint="eastAsia"/>
        </w:rPr>
      </w:pPr>
      <w:r>
        <w:rPr>
          <w:rFonts w:cs="Times New Roman"/>
          <w:rtl/>
        </w:rPr>
        <w:t xml:space="preserve">لا تستخدم معلومات </w:t>
      </w:r>
      <w:r>
        <w:rPr>
          <w:rFonts w:cs="Times New Roman"/>
          <w:rtl/>
        </w:rPr>
        <w:t>منافس سرية أو مسروقة، ولا يطلب من موظف جديد كشف أسرار جهة عمل سابقة</w:t>
      </w:r>
      <w:r>
        <w:rPr>
          <w:rtl/>
        </w:rPr>
        <w:t>.</w:t>
      </w:r>
    </w:p>
    <w:p w:rsidR="00594DDA" w:rsidRDefault="00BA10EA" w:rsidP="00E677CE">
      <w:pPr>
        <w:pStyle w:val="1"/>
        <w:jc w:val="left"/>
      </w:pPr>
      <w:r>
        <w:rPr>
          <w:rFonts w:ascii="DejaVu Sans" w:hAnsi="DejaVu Sans" w:cs="DejaVu Sans"/>
          <w:rtl/>
        </w:rPr>
        <w:t xml:space="preserve">13. </w:t>
      </w:r>
      <w:r>
        <w:rPr>
          <w:rFonts w:ascii="DejaVu Sans" w:hAnsi="DejaVu Sans" w:cs="Times New Roman"/>
          <w:rtl/>
        </w:rPr>
        <w:t>السرية وحماية البيانات</w:t>
      </w:r>
    </w:p>
    <w:p w:rsidR="00594DDA" w:rsidRDefault="00BA10EA" w:rsidP="00E677CE">
      <w:pPr>
        <w:numPr>
          <w:ilvl w:val="0"/>
          <w:numId w:val="2"/>
        </w:numPr>
        <w:jc w:val="left"/>
        <w:rPr>
          <w:rFonts w:hint="eastAsia"/>
        </w:rPr>
      </w:pPr>
      <w:r>
        <w:rPr>
          <w:rFonts w:cs="Times New Roman"/>
          <w:rtl/>
        </w:rPr>
        <w:t>تجمع البيانات وتستخدم وتشارك للغرض المصرح وبالحد اللازم ووفق الأساس النظامي والصلاحية ومدة الاحتفاظ المعتمدة</w:t>
      </w:r>
      <w:r>
        <w:rPr>
          <w:rtl/>
        </w:rPr>
        <w:t>.</w:t>
      </w:r>
    </w:p>
    <w:p w:rsidR="00594DDA" w:rsidRDefault="00BA10EA" w:rsidP="00E677CE">
      <w:pPr>
        <w:numPr>
          <w:ilvl w:val="0"/>
          <w:numId w:val="2"/>
        </w:numPr>
        <w:jc w:val="left"/>
        <w:rPr>
          <w:rFonts w:hint="eastAsia"/>
        </w:rPr>
      </w:pPr>
      <w:r>
        <w:rPr>
          <w:rFonts w:cs="Times New Roman"/>
          <w:rtl/>
        </w:rPr>
        <w:t>تحظر مشاركة كلمات المرور أو إرسال بيانات العمل إلى</w:t>
      </w:r>
      <w:r>
        <w:rPr>
          <w:rFonts w:cs="Times New Roman"/>
          <w:rtl/>
        </w:rPr>
        <w:t xml:space="preserve"> بريد أو جهاز أو تطبيق شخصي غير معتمد، أو تصوير الشاشات والسجلات دون حاجة وصلاحية</w:t>
      </w:r>
      <w:r>
        <w:rPr>
          <w:rtl/>
        </w:rPr>
        <w:t>.</w:t>
      </w:r>
    </w:p>
    <w:p w:rsidR="00594DDA" w:rsidRDefault="00BA10EA" w:rsidP="00E677CE">
      <w:pPr>
        <w:numPr>
          <w:ilvl w:val="0"/>
          <w:numId w:val="2"/>
        </w:numPr>
        <w:jc w:val="left"/>
        <w:rPr>
          <w:rFonts w:hint="eastAsia"/>
        </w:rPr>
      </w:pPr>
      <w:r>
        <w:rPr>
          <w:rFonts w:cs="Times New Roman"/>
          <w:rtl/>
        </w:rPr>
        <w:t>يجب التحقق من هوية المستلم والتصنيف قبل الإرسال، واستخدام التشفير والقنوات المعتمدة، والإبلاغ الفوري عن الفقد أو التسريب أو الإرسال الخاطئ</w:t>
      </w:r>
      <w:r>
        <w:rPr>
          <w:rtl/>
        </w:rPr>
        <w:t>.</w:t>
      </w:r>
    </w:p>
    <w:p w:rsidR="00594DDA" w:rsidRDefault="00BA10EA" w:rsidP="00E677CE">
      <w:pPr>
        <w:numPr>
          <w:ilvl w:val="0"/>
          <w:numId w:val="2"/>
        </w:numPr>
        <w:jc w:val="left"/>
        <w:rPr>
          <w:rFonts w:hint="eastAsia"/>
        </w:rPr>
      </w:pPr>
      <w:r>
        <w:rPr>
          <w:rFonts w:cs="Times New Roman"/>
          <w:rtl/>
        </w:rPr>
        <w:t>تستمر واجبات السرية بعد انتهاء ال</w:t>
      </w:r>
      <w:r>
        <w:rPr>
          <w:rFonts w:cs="Times New Roman"/>
          <w:rtl/>
        </w:rPr>
        <w:t>علاقة، ولا يمنع ذلك إفصاحًا مطلوبًا نظامًا أو بلاغًا مشروعًا إلى جهة مختصة</w:t>
      </w:r>
      <w:r>
        <w:rPr>
          <w:rtl/>
        </w:rPr>
        <w:t>.</w:t>
      </w:r>
    </w:p>
    <w:p w:rsidR="00594DDA" w:rsidRDefault="00BA10EA" w:rsidP="00E677CE">
      <w:pPr>
        <w:pStyle w:val="1"/>
        <w:jc w:val="left"/>
      </w:pPr>
      <w:r>
        <w:rPr>
          <w:rFonts w:ascii="DejaVu Sans" w:hAnsi="DejaVu Sans" w:cs="DejaVu Sans"/>
          <w:rtl/>
        </w:rPr>
        <w:lastRenderedPageBreak/>
        <w:t xml:space="preserve">14. </w:t>
      </w:r>
      <w:r>
        <w:rPr>
          <w:rFonts w:ascii="DejaVu Sans" w:hAnsi="DejaVu Sans" w:cs="Times New Roman"/>
          <w:rtl/>
        </w:rPr>
        <w:t>استخدام التقنية والذكاء الاصطناعي</w:t>
      </w:r>
    </w:p>
    <w:p w:rsidR="00594DDA" w:rsidRDefault="00BA10EA" w:rsidP="00E677CE">
      <w:pPr>
        <w:numPr>
          <w:ilvl w:val="0"/>
          <w:numId w:val="2"/>
        </w:numPr>
        <w:jc w:val="left"/>
        <w:rPr>
          <w:rFonts w:hint="eastAsia"/>
        </w:rPr>
      </w:pPr>
      <w:r>
        <w:rPr>
          <w:rFonts w:cs="Times New Roman"/>
          <w:rtl/>
        </w:rPr>
        <w:t>تستخدم الأنظمة والحسابات والأجهزة للأغراض المصرح بها، ويحظر تعطيل الضوابط أو تثبيت برامج أو توصيل وسائط غير معتمدة</w:t>
      </w:r>
      <w:r>
        <w:rPr>
          <w:rtl/>
        </w:rPr>
        <w:t>.</w:t>
      </w:r>
    </w:p>
    <w:p w:rsidR="00594DDA" w:rsidRDefault="00BA10EA" w:rsidP="00E677CE">
      <w:pPr>
        <w:numPr>
          <w:ilvl w:val="0"/>
          <w:numId w:val="2"/>
        </w:numPr>
        <w:jc w:val="left"/>
        <w:rPr>
          <w:rFonts w:hint="eastAsia"/>
        </w:rPr>
      </w:pPr>
      <w:r>
        <w:rPr>
          <w:rFonts w:cs="Times New Roman"/>
          <w:rtl/>
        </w:rPr>
        <w:t xml:space="preserve">لا تدخل بيانات سرية أو </w:t>
      </w:r>
      <w:r>
        <w:rPr>
          <w:rFonts w:cs="Times New Roman"/>
          <w:rtl/>
        </w:rPr>
        <w:t>شخصية أو ملكية فكرية في أدوات ذكاء اصطناعي أو خدمات سحابية غير معتمدة</w:t>
      </w:r>
      <w:r>
        <w:rPr>
          <w:rtl/>
        </w:rPr>
        <w:t>.</w:t>
      </w:r>
    </w:p>
    <w:p w:rsidR="00594DDA" w:rsidRDefault="00BA10EA" w:rsidP="00E677CE">
      <w:pPr>
        <w:numPr>
          <w:ilvl w:val="0"/>
          <w:numId w:val="2"/>
        </w:numPr>
        <w:jc w:val="left"/>
        <w:rPr>
          <w:rFonts w:hint="eastAsia"/>
        </w:rPr>
      </w:pPr>
      <w:r>
        <w:rPr>
          <w:rFonts w:cs="Times New Roman"/>
          <w:rtl/>
        </w:rPr>
        <w:t>تراجع مخرجات الذكاء الاصطناعي بشريًا قبل الاعتماد، ولا تنسب إليه قرارًا أو حقيقة دون تحقق، مع توثيق الاستخدام في القرارات الجوهرية متى لزم</w:t>
      </w:r>
      <w:r>
        <w:rPr>
          <w:rtl/>
        </w:rPr>
        <w:t>.</w:t>
      </w:r>
    </w:p>
    <w:p w:rsidR="00594DDA" w:rsidRDefault="00BA10EA" w:rsidP="00E677CE">
      <w:pPr>
        <w:numPr>
          <w:ilvl w:val="0"/>
          <w:numId w:val="2"/>
        </w:numPr>
        <w:jc w:val="left"/>
        <w:rPr>
          <w:rFonts w:hint="eastAsia"/>
        </w:rPr>
      </w:pPr>
      <w:r>
        <w:rPr>
          <w:rFonts w:cs="Times New Roman"/>
          <w:rtl/>
        </w:rPr>
        <w:t>لا تستخدم التقنية لإنشاء محتوى مزيف أو انتحال</w:t>
      </w:r>
      <w:r>
        <w:rPr>
          <w:rFonts w:cs="Times New Roman"/>
          <w:rtl/>
        </w:rPr>
        <w:t xml:space="preserve"> أو مراقبة غير مشروعة أو تحيز أو تجاوز صلاحيات الوصول</w:t>
      </w:r>
      <w:r>
        <w:rPr>
          <w:rtl/>
        </w:rPr>
        <w:t>.</w:t>
      </w:r>
    </w:p>
    <w:p w:rsidR="00594DDA" w:rsidRDefault="00BA10EA" w:rsidP="00E677CE">
      <w:pPr>
        <w:pStyle w:val="1"/>
        <w:jc w:val="left"/>
      </w:pPr>
      <w:r>
        <w:rPr>
          <w:rFonts w:ascii="DejaVu Sans" w:hAnsi="DejaVu Sans" w:cs="DejaVu Sans"/>
          <w:rtl/>
        </w:rPr>
        <w:t xml:space="preserve">15. </w:t>
      </w:r>
      <w:r>
        <w:rPr>
          <w:rFonts w:ascii="DejaVu Sans" w:hAnsi="DejaVu Sans" w:cs="Times New Roman"/>
          <w:rtl/>
        </w:rPr>
        <w:t>التواصل ووسائل التواصل الاجتماعي</w:t>
      </w:r>
    </w:p>
    <w:p w:rsidR="00594DDA" w:rsidRDefault="00BA10EA" w:rsidP="00E677CE">
      <w:pPr>
        <w:numPr>
          <w:ilvl w:val="0"/>
          <w:numId w:val="2"/>
        </w:numPr>
        <w:jc w:val="left"/>
        <w:rPr>
          <w:rFonts w:hint="eastAsia"/>
        </w:rPr>
      </w:pPr>
      <w:r>
        <w:rPr>
          <w:rFonts w:cs="Times New Roman"/>
          <w:rtl/>
        </w:rPr>
        <w:t xml:space="preserve">لا يتحدث باسم المنشأة أو ينشر بيانًا رسميًا إلا المخول، وتوجه الاستفسارات الإعلامية إلى </w:t>
      </w:r>
      <w:r>
        <w:rPr>
          <w:rtl/>
        </w:rPr>
        <w:t>[</w:t>
      </w:r>
      <w:r>
        <w:rPr>
          <w:rFonts w:cs="Times New Roman"/>
          <w:rtl/>
        </w:rPr>
        <w:t>الجهة المختصة</w:t>
      </w:r>
      <w:r>
        <w:rPr>
          <w:rtl/>
        </w:rPr>
        <w:t>].</w:t>
      </w:r>
    </w:p>
    <w:p w:rsidR="00594DDA" w:rsidRDefault="00BA10EA" w:rsidP="00E677CE">
      <w:pPr>
        <w:numPr>
          <w:ilvl w:val="0"/>
          <w:numId w:val="2"/>
        </w:numPr>
        <w:jc w:val="left"/>
        <w:rPr>
          <w:rFonts w:hint="eastAsia"/>
        </w:rPr>
      </w:pPr>
      <w:r>
        <w:rPr>
          <w:rFonts w:cs="Times New Roman"/>
          <w:rtl/>
        </w:rPr>
        <w:t>عند ذكر الصفة الوظيفية بصورة شخصية، يجب ألا يوحي الرأي بأنه</w:t>
      </w:r>
      <w:r>
        <w:rPr>
          <w:rFonts w:cs="Times New Roman"/>
          <w:rtl/>
        </w:rPr>
        <w:t xml:space="preserve"> موقف رسمي، مع الحفاظ على السرية والاحترام والأنظمة</w:t>
      </w:r>
      <w:r>
        <w:rPr>
          <w:rtl/>
        </w:rPr>
        <w:t>.</w:t>
      </w:r>
    </w:p>
    <w:p w:rsidR="00594DDA" w:rsidRDefault="00BA10EA" w:rsidP="00E677CE">
      <w:pPr>
        <w:numPr>
          <w:ilvl w:val="0"/>
          <w:numId w:val="2"/>
        </w:numPr>
        <w:jc w:val="left"/>
        <w:rPr>
          <w:rFonts w:hint="eastAsia"/>
        </w:rPr>
      </w:pPr>
      <w:r>
        <w:rPr>
          <w:rFonts w:cs="Times New Roman"/>
          <w:rtl/>
        </w:rPr>
        <w:t>يحظر نشر صور أو بيانات الزملاء والعملاء أو مواقع العمل أو المستندات والشاشات دون تصريح وموافقة لازمة</w:t>
      </w:r>
      <w:r>
        <w:rPr>
          <w:rtl/>
        </w:rPr>
        <w:t>.</w:t>
      </w:r>
    </w:p>
    <w:p w:rsidR="00594DDA" w:rsidRDefault="00BA10EA" w:rsidP="00E677CE">
      <w:pPr>
        <w:numPr>
          <w:ilvl w:val="0"/>
          <w:numId w:val="2"/>
        </w:numPr>
        <w:jc w:val="left"/>
        <w:rPr>
          <w:rFonts w:hint="eastAsia"/>
        </w:rPr>
      </w:pPr>
      <w:r>
        <w:rPr>
          <w:rFonts w:cs="Times New Roman"/>
          <w:rtl/>
        </w:rPr>
        <w:t>لا تستخدم السياسة لمنع التعبير المشروع أو البلاغ النظامي، وتقيّم المخالفات بحسب الصلة بالعمل والضرر و</w:t>
      </w:r>
      <w:r>
        <w:rPr>
          <w:rFonts w:cs="Times New Roman"/>
          <w:rtl/>
        </w:rPr>
        <w:t>السياق لا لمجرد اختلاف الرأي</w:t>
      </w:r>
      <w:r>
        <w:rPr>
          <w:rtl/>
        </w:rPr>
        <w:t>.</w:t>
      </w:r>
    </w:p>
    <w:p w:rsidR="00594DDA" w:rsidRDefault="00BA10EA" w:rsidP="00E677CE">
      <w:pPr>
        <w:pStyle w:val="1"/>
        <w:jc w:val="left"/>
      </w:pPr>
      <w:r>
        <w:rPr>
          <w:rFonts w:ascii="DejaVu Sans" w:hAnsi="DejaVu Sans" w:cs="DejaVu Sans"/>
          <w:rtl/>
        </w:rPr>
        <w:t xml:space="preserve">16. </w:t>
      </w:r>
      <w:r>
        <w:rPr>
          <w:rFonts w:ascii="DejaVu Sans" w:hAnsi="DejaVu Sans" w:cs="Times New Roman"/>
          <w:rtl/>
        </w:rPr>
        <w:t>أصول المنشأة والملكية الفكرية</w:t>
      </w:r>
    </w:p>
    <w:p w:rsidR="00594DDA" w:rsidRDefault="00BA10EA" w:rsidP="00E677CE">
      <w:pPr>
        <w:numPr>
          <w:ilvl w:val="0"/>
          <w:numId w:val="2"/>
        </w:numPr>
        <w:jc w:val="left"/>
        <w:rPr>
          <w:rFonts w:hint="eastAsia"/>
        </w:rPr>
      </w:pPr>
      <w:r>
        <w:rPr>
          <w:rFonts w:cs="Times New Roman"/>
          <w:rtl/>
        </w:rPr>
        <w:t>تحمى الأموال والمعدات والأنظمة والوقت والاشتراكات والمعلومات من الفقد والهدر والاستخدام غير المصرح</w:t>
      </w:r>
      <w:r>
        <w:rPr>
          <w:rtl/>
        </w:rPr>
        <w:t>.</w:t>
      </w:r>
    </w:p>
    <w:p w:rsidR="00594DDA" w:rsidRDefault="00BA10EA" w:rsidP="00E677CE">
      <w:pPr>
        <w:numPr>
          <w:ilvl w:val="0"/>
          <w:numId w:val="2"/>
        </w:numPr>
        <w:jc w:val="left"/>
        <w:rPr>
          <w:rFonts w:hint="eastAsia"/>
        </w:rPr>
      </w:pPr>
      <w:r>
        <w:rPr>
          <w:rFonts w:cs="Times New Roman"/>
          <w:rtl/>
        </w:rPr>
        <w:t>لا تستخدم موارد المنشأة لمصلحة تجارية شخصية أو سياسية أو لجمع تبرعات دون موافقة، ولا تنقل أص</w:t>
      </w:r>
      <w:r>
        <w:rPr>
          <w:rFonts w:cs="Times New Roman"/>
          <w:rtl/>
        </w:rPr>
        <w:t>لًا أو تتصرف فيه دون صلاحية</w:t>
      </w:r>
      <w:r>
        <w:rPr>
          <w:rtl/>
        </w:rPr>
        <w:t>.</w:t>
      </w:r>
    </w:p>
    <w:p w:rsidR="00594DDA" w:rsidRDefault="00BA10EA" w:rsidP="00E677CE">
      <w:pPr>
        <w:numPr>
          <w:ilvl w:val="0"/>
          <w:numId w:val="2"/>
        </w:numPr>
        <w:jc w:val="left"/>
        <w:rPr>
          <w:rFonts w:hint="eastAsia"/>
        </w:rPr>
      </w:pPr>
      <w:r>
        <w:rPr>
          <w:rFonts w:cs="Times New Roman"/>
          <w:rtl/>
        </w:rPr>
        <w:t>تسجل المصروفات بدقة وتدعم بمستند حقيقي وغرض عمل، ويحظر المطالبة المزدوجة أو تقسيم المصروف لتجاوز الصلاحية</w:t>
      </w:r>
      <w:r>
        <w:rPr>
          <w:rtl/>
        </w:rPr>
        <w:t>.</w:t>
      </w:r>
    </w:p>
    <w:p w:rsidR="00594DDA" w:rsidRDefault="00BA10EA" w:rsidP="00E677CE">
      <w:pPr>
        <w:numPr>
          <w:ilvl w:val="0"/>
          <w:numId w:val="2"/>
        </w:numPr>
        <w:jc w:val="left"/>
        <w:rPr>
          <w:rFonts w:hint="eastAsia"/>
        </w:rPr>
      </w:pPr>
      <w:r>
        <w:rPr>
          <w:rFonts w:cs="Times New Roman"/>
          <w:rtl/>
        </w:rPr>
        <w:t>تحترم حقوق النشر والعلامات والتراخيص والأسرار التجارية، وتؤول مخرجات العمل وفق العقد والأنظمة والاتفاقات المعتمدة</w:t>
      </w:r>
      <w:r>
        <w:rPr>
          <w:rtl/>
        </w:rPr>
        <w:t>.</w:t>
      </w:r>
    </w:p>
    <w:p w:rsidR="00594DDA" w:rsidRDefault="00BA10EA" w:rsidP="00E677CE">
      <w:pPr>
        <w:pStyle w:val="1"/>
        <w:jc w:val="left"/>
      </w:pPr>
      <w:r>
        <w:rPr>
          <w:rFonts w:ascii="DejaVu Sans" w:hAnsi="DejaVu Sans" w:cs="DejaVu Sans"/>
          <w:rtl/>
        </w:rPr>
        <w:t xml:space="preserve">17. </w:t>
      </w:r>
      <w:r>
        <w:rPr>
          <w:rFonts w:ascii="DejaVu Sans" w:hAnsi="DejaVu Sans" w:cs="Times New Roman"/>
          <w:rtl/>
        </w:rPr>
        <w:t>ا</w:t>
      </w:r>
      <w:r>
        <w:rPr>
          <w:rFonts w:ascii="DejaVu Sans" w:hAnsi="DejaVu Sans" w:cs="Times New Roman"/>
          <w:rtl/>
        </w:rPr>
        <w:t>لسلامة والصحة والبيئة</w:t>
      </w:r>
    </w:p>
    <w:p w:rsidR="00594DDA" w:rsidRDefault="00BA10EA" w:rsidP="00E677CE">
      <w:pPr>
        <w:numPr>
          <w:ilvl w:val="0"/>
          <w:numId w:val="2"/>
        </w:numPr>
        <w:jc w:val="left"/>
        <w:rPr>
          <w:rFonts w:hint="eastAsia"/>
        </w:rPr>
      </w:pPr>
      <w:r>
        <w:rPr>
          <w:rFonts w:cs="Times New Roman"/>
          <w:rtl/>
        </w:rPr>
        <w:t>يلتزم الجميع بتعليمات السلامة والإبلاغ عن الخطر والحادث وشبه الحادث، ولأي شخص إيقاف عمل عند خطر جسيم ووشيك وطلب التقييم</w:t>
      </w:r>
      <w:r>
        <w:rPr>
          <w:rtl/>
        </w:rPr>
        <w:t>.</w:t>
      </w:r>
    </w:p>
    <w:p w:rsidR="00594DDA" w:rsidRDefault="00BA10EA" w:rsidP="00E677CE">
      <w:pPr>
        <w:numPr>
          <w:ilvl w:val="0"/>
          <w:numId w:val="2"/>
        </w:numPr>
        <w:jc w:val="left"/>
        <w:rPr>
          <w:rFonts w:hint="eastAsia"/>
        </w:rPr>
      </w:pPr>
      <w:r>
        <w:rPr>
          <w:rFonts w:cs="Times New Roman"/>
          <w:rtl/>
        </w:rPr>
        <w:t xml:space="preserve">يحظر الحضور أو أداء العمل تحت تأثير مادة تؤثر في السلامة أو القرار، وحيازة المواد أو الأسلحة المحظورة وفق النظام </w:t>
      </w:r>
      <w:r>
        <w:rPr>
          <w:rFonts w:cs="Times New Roman"/>
          <w:rtl/>
        </w:rPr>
        <w:t>وتعليمات الموقع</w:t>
      </w:r>
      <w:r>
        <w:rPr>
          <w:rtl/>
        </w:rPr>
        <w:t>.</w:t>
      </w:r>
    </w:p>
    <w:p w:rsidR="00594DDA" w:rsidRDefault="00BA10EA" w:rsidP="00E677CE">
      <w:pPr>
        <w:numPr>
          <w:ilvl w:val="0"/>
          <w:numId w:val="2"/>
        </w:numPr>
        <w:jc w:val="left"/>
        <w:rPr>
          <w:rFonts w:hint="eastAsia"/>
        </w:rPr>
      </w:pPr>
      <w:r>
        <w:rPr>
          <w:rFonts w:cs="Times New Roman"/>
          <w:rtl/>
        </w:rPr>
        <w:t>لا يخفى حادث أو إصابة أو تلوث أو عطل أمني، ولا يقدم الإنتاج أو الموعد على سلامة الأشخاص والبيئة</w:t>
      </w:r>
      <w:r>
        <w:rPr>
          <w:rtl/>
        </w:rPr>
        <w:t>.</w:t>
      </w:r>
    </w:p>
    <w:p w:rsidR="00594DDA" w:rsidRDefault="00BA10EA" w:rsidP="00E677CE">
      <w:pPr>
        <w:pStyle w:val="1"/>
        <w:jc w:val="left"/>
      </w:pPr>
      <w:r>
        <w:rPr>
          <w:rFonts w:ascii="DejaVu Sans" w:hAnsi="DejaVu Sans" w:cs="DejaVu Sans"/>
          <w:rtl/>
        </w:rPr>
        <w:t xml:space="preserve">18. </w:t>
      </w:r>
      <w:r>
        <w:rPr>
          <w:rFonts w:ascii="DejaVu Sans" w:hAnsi="DejaVu Sans" w:cs="Times New Roman"/>
          <w:rtl/>
        </w:rPr>
        <w:t>السجلات ودقة المعلومات</w:t>
      </w:r>
    </w:p>
    <w:p w:rsidR="00594DDA" w:rsidRDefault="00BA10EA" w:rsidP="00E677CE">
      <w:pPr>
        <w:numPr>
          <w:ilvl w:val="0"/>
          <w:numId w:val="2"/>
        </w:numPr>
        <w:jc w:val="left"/>
        <w:rPr>
          <w:rFonts w:hint="eastAsia"/>
        </w:rPr>
      </w:pPr>
      <w:r>
        <w:rPr>
          <w:rFonts w:cs="Times New Roman"/>
          <w:rtl/>
        </w:rPr>
        <w:t>تكون السجلات والتقارير والعقود والوقت والحضور والمصروفات والقيود المالية كاملة ودقيقة وفي وقتها</w:t>
      </w:r>
      <w:r>
        <w:rPr>
          <w:rtl/>
        </w:rPr>
        <w:t>.</w:t>
      </w:r>
    </w:p>
    <w:p w:rsidR="00594DDA" w:rsidRDefault="00BA10EA" w:rsidP="00E677CE">
      <w:pPr>
        <w:numPr>
          <w:ilvl w:val="0"/>
          <w:numId w:val="2"/>
        </w:numPr>
        <w:jc w:val="left"/>
        <w:rPr>
          <w:rFonts w:hint="eastAsia"/>
        </w:rPr>
      </w:pPr>
      <w:r>
        <w:rPr>
          <w:rFonts w:cs="Times New Roman"/>
          <w:rtl/>
        </w:rPr>
        <w:t xml:space="preserve">يحظر إنشاء سجل </w:t>
      </w:r>
      <w:r>
        <w:rPr>
          <w:rFonts w:cs="Times New Roman"/>
          <w:rtl/>
        </w:rPr>
        <w:t>جانبي أو حذف أو تعديل أو إتلاف معلومات بقصد التضليل أو بعد العلم بمراجعة أو نزاع أو طلب حفظ</w:t>
      </w:r>
      <w:r>
        <w:rPr>
          <w:rtl/>
        </w:rPr>
        <w:t>.</w:t>
      </w:r>
    </w:p>
    <w:p w:rsidR="00594DDA" w:rsidRDefault="00BA10EA" w:rsidP="00E677CE">
      <w:pPr>
        <w:numPr>
          <w:ilvl w:val="0"/>
          <w:numId w:val="2"/>
        </w:numPr>
        <w:jc w:val="left"/>
        <w:rPr>
          <w:rFonts w:hint="eastAsia"/>
        </w:rPr>
      </w:pPr>
      <w:r>
        <w:rPr>
          <w:rFonts w:cs="Times New Roman"/>
          <w:rtl/>
        </w:rPr>
        <w:t>تطبق مدد الاحتفاظ والإتلاف الآمن والصلاحيات، ويبلغ عن الخطأ فور اكتشافه ويصحح دون إخفاء أثر التعديل</w:t>
      </w:r>
      <w:r>
        <w:rPr>
          <w:rtl/>
        </w:rPr>
        <w:t>.</w:t>
      </w:r>
    </w:p>
    <w:p w:rsidR="00594DDA" w:rsidRDefault="00BA10EA" w:rsidP="00E677CE">
      <w:pPr>
        <w:pStyle w:val="1"/>
        <w:jc w:val="left"/>
      </w:pPr>
      <w:r>
        <w:rPr>
          <w:rFonts w:ascii="DejaVu Sans" w:hAnsi="DejaVu Sans" w:cs="DejaVu Sans"/>
          <w:rtl/>
        </w:rPr>
        <w:lastRenderedPageBreak/>
        <w:t xml:space="preserve">19. </w:t>
      </w:r>
      <w:r>
        <w:rPr>
          <w:rFonts w:ascii="DejaVu Sans" w:hAnsi="DejaVu Sans" w:cs="Times New Roman"/>
          <w:rtl/>
        </w:rPr>
        <w:t>العمل الخارجي والأنشطة العامة</w:t>
      </w:r>
    </w:p>
    <w:p w:rsidR="00594DDA" w:rsidRDefault="00BA10EA" w:rsidP="00E677CE">
      <w:pPr>
        <w:numPr>
          <w:ilvl w:val="0"/>
          <w:numId w:val="2"/>
        </w:numPr>
        <w:jc w:val="left"/>
        <w:rPr>
          <w:rFonts w:hint="eastAsia"/>
        </w:rPr>
      </w:pPr>
      <w:r>
        <w:rPr>
          <w:rFonts w:cs="Times New Roman"/>
          <w:rtl/>
        </w:rPr>
        <w:t>لا يجوز نشاط خارجي يؤثر في س</w:t>
      </w:r>
      <w:r>
        <w:rPr>
          <w:rFonts w:cs="Times New Roman"/>
          <w:rtl/>
        </w:rPr>
        <w:t>اعات العمل أو الأداء أو السلامة أو السرية أو ينافس المنشأة أو يستغل اسمها ومواردها دون موافقة لازمة</w:t>
      </w:r>
      <w:r>
        <w:rPr>
          <w:rtl/>
        </w:rPr>
        <w:t>.</w:t>
      </w:r>
    </w:p>
    <w:p w:rsidR="00594DDA" w:rsidRDefault="00BA10EA" w:rsidP="00E677CE">
      <w:pPr>
        <w:numPr>
          <w:ilvl w:val="0"/>
          <w:numId w:val="2"/>
        </w:numPr>
        <w:jc w:val="left"/>
        <w:rPr>
          <w:rFonts w:hint="eastAsia"/>
        </w:rPr>
      </w:pPr>
      <w:r>
        <w:rPr>
          <w:rFonts w:cs="Times New Roman"/>
          <w:rtl/>
        </w:rPr>
        <w:t>تفصل الآراء والأنشطة الشخصية عن صفة المنشأة، ولا تمول أو تدعم مساهمات سياسية أو خيرية باسمها إلا وفق الأنظمة والصلاحيات</w:t>
      </w:r>
      <w:r>
        <w:rPr>
          <w:rtl/>
        </w:rPr>
        <w:t>.</w:t>
      </w:r>
    </w:p>
    <w:p w:rsidR="00594DDA" w:rsidRDefault="00BA10EA" w:rsidP="00E677CE">
      <w:pPr>
        <w:numPr>
          <w:ilvl w:val="0"/>
          <w:numId w:val="2"/>
        </w:numPr>
        <w:jc w:val="left"/>
        <w:rPr>
          <w:rFonts w:hint="eastAsia"/>
        </w:rPr>
      </w:pPr>
      <w:r>
        <w:rPr>
          <w:rFonts w:cs="Times New Roman"/>
          <w:rtl/>
        </w:rPr>
        <w:t>لا تقبل عضوية أو استشارة أو منصب ق</w:t>
      </w:r>
      <w:r>
        <w:rPr>
          <w:rFonts w:cs="Times New Roman"/>
          <w:rtl/>
        </w:rPr>
        <w:t>د ينشئ تعارضًا إلا بعد الإفصاح والمعالجة المكتوبة</w:t>
      </w:r>
      <w:r>
        <w:rPr>
          <w:rtl/>
        </w:rPr>
        <w:t>.</w:t>
      </w:r>
    </w:p>
    <w:p w:rsidR="00594DDA" w:rsidRDefault="00BA10EA" w:rsidP="00E677CE">
      <w:pPr>
        <w:pStyle w:val="1"/>
        <w:jc w:val="left"/>
      </w:pPr>
      <w:r>
        <w:rPr>
          <w:rFonts w:ascii="DejaVu Sans" w:hAnsi="DejaVu Sans" w:cs="DejaVu Sans"/>
          <w:rtl/>
        </w:rPr>
        <w:t xml:space="preserve">20. </w:t>
      </w:r>
      <w:r>
        <w:rPr>
          <w:rFonts w:ascii="DejaVu Sans" w:hAnsi="DejaVu Sans" w:cs="Times New Roman"/>
          <w:rtl/>
        </w:rPr>
        <w:t>طلب المشورة والإبلاغ</w:t>
      </w:r>
    </w:p>
    <w:p w:rsidR="00594DDA" w:rsidRDefault="00BA10EA" w:rsidP="00E677CE">
      <w:pPr>
        <w:jc w:val="left"/>
        <w:rPr>
          <w:rFonts w:hint="eastAsia"/>
        </w:rPr>
      </w:pPr>
      <w:r>
        <w:rPr>
          <w:rFonts w:cs="Times New Roman"/>
          <w:rtl/>
        </w:rPr>
        <w:t>يجب طرح السؤال قبل التصرف عند الشك</w:t>
      </w:r>
      <w:r>
        <w:rPr>
          <w:rtl/>
        </w:rPr>
        <w:t xml:space="preserve">. </w:t>
      </w:r>
      <w:r>
        <w:rPr>
          <w:rFonts w:cs="Times New Roman"/>
          <w:rtl/>
        </w:rPr>
        <w:t>ويمكن تقديم البلاغ بالاسم أو دون اسم متى أتاحت القناة ذلك، مع معلومات كافية للتحقق دون اشتراط اكتمال الأدلة</w:t>
      </w:r>
      <w:r>
        <w:rPr>
          <w:rtl/>
        </w:rPr>
        <w:t>.</w:t>
      </w:r>
    </w:p>
    <w:tbl>
      <w:tblPr>
        <w:tblStyle w:val="afa"/>
        <w:tblW w:w="9360" w:type="dxa"/>
        <w:jc w:val="center"/>
        <w:tblLayout w:type="fixed"/>
        <w:tblLook w:val="04A0" w:firstRow="1" w:lastRow="0" w:firstColumn="1" w:lastColumn="0" w:noHBand="0" w:noVBand="1"/>
      </w:tblPr>
      <w:tblGrid>
        <w:gridCol w:w="2500"/>
        <w:gridCol w:w="4060"/>
        <w:gridCol w:w="2800"/>
      </w:tblGrid>
      <w:tr w:rsidR="00594DDA">
        <w:trPr>
          <w:cantSplit/>
          <w:tblHeader/>
          <w:jc w:val="center"/>
        </w:trPr>
        <w:tc>
          <w:tcPr>
            <w:tcW w:w="250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القناة</w:t>
            </w:r>
          </w:p>
        </w:tc>
        <w:tc>
          <w:tcPr>
            <w:tcW w:w="406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الاستخدام</w:t>
            </w:r>
          </w:p>
        </w:tc>
        <w:tc>
          <w:tcPr>
            <w:tcW w:w="280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بيانات التواصل</w:t>
            </w:r>
          </w:p>
        </w:tc>
      </w:tr>
      <w:tr w:rsidR="00594DDA">
        <w:trPr>
          <w:cantSplit/>
          <w:jc w:val="center"/>
        </w:trPr>
        <w:tc>
          <w:tcPr>
            <w:tcW w:w="25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المدير المباشر</w:t>
            </w:r>
          </w:p>
        </w:tc>
        <w:tc>
          <w:tcPr>
            <w:tcW w:w="4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الاستفسارات والسلوكيات التي لا يكون طرفًا فيها</w:t>
            </w:r>
            <w:r>
              <w:rPr>
                <w:sz w:val="18"/>
                <w:rtl/>
              </w:rPr>
              <w:t>.</w:t>
            </w:r>
          </w:p>
        </w:tc>
        <w:tc>
          <w:tcPr>
            <w:tcW w:w="28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sz w:val="18"/>
                <w:rtl/>
              </w:rPr>
              <w:t>[</w:t>
            </w:r>
            <w:r>
              <w:rPr>
                <w:rFonts w:cs="Times New Roman"/>
                <w:sz w:val="18"/>
                <w:rtl/>
              </w:rPr>
              <w:t>البيانات</w:t>
            </w:r>
            <w:r>
              <w:rPr>
                <w:sz w:val="18"/>
                <w:rtl/>
              </w:rPr>
              <w:t>]</w:t>
            </w:r>
          </w:p>
        </w:tc>
      </w:tr>
      <w:tr w:rsidR="00594DDA">
        <w:trPr>
          <w:cantSplit/>
          <w:jc w:val="center"/>
        </w:trPr>
        <w:tc>
          <w:tcPr>
            <w:tcW w:w="25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الموارد البشرية</w:t>
            </w:r>
          </w:p>
        </w:tc>
        <w:tc>
          <w:tcPr>
            <w:tcW w:w="4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التعديات السلوكية والعلاقات الوظيفية وتعارضات المدير</w:t>
            </w:r>
            <w:r>
              <w:rPr>
                <w:sz w:val="18"/>
                <w:rtl/>
              </w:rPr>
              <w:t>.</w:t>
            </w:r>
          </w:p>
        </w:tc>
        <w:tc>
          <w:tcPr>
            <w:tcW w:w="28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sz w:val="18"/>
                <w:rtl/>
              </w:rPr>
              <w:t>[</w:t>
            </w:r>
            <w:r>
              <w:rPr>
                <w:rFonts w:cs="Times New Roman"/>
                <w:sz w:val="18"/>
                <w:rtl/>
              </w:rPr>
              <w:t>البيانات</w:t>
            </w:r>
            <w:r>
              <w:rPr>
                <w:sz w:val="18"/>
                <w:rtl/>
              </w:rPr>
              <w:t>]</w:t>
            </w:r>
          </w:p>
        </w:tc>
      </w:tr>
      <w:tr w:rsidR="00594DDA">
        <w:trPr>
          <w:cantSplit/>
          <w:jc w:val="center"/>
        </w:trPr>
        <w:tc>
          <w:tcPr>
            <w:tcW w:w="25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الالتزام</w:t>
            </w:r>
            <w:r>
              <w:rPr>
                <w:sz w:val="18"/>
                <w:rtl/>
              </w:rPr>
              <w:t>/</w:t>
            </w:r>
            <w:r>
              <w:rPr>
                <w:rFonts w:cs="Times New Roman"/>
                <w:sz w:val="18"/>
                <w:rtl/>
              </w:rPr>
              <w:t>الشؤون القانونية</w:t>
            </w:r>
          </w:p>
        </w:tc>
        <w:tc>
          <w:tcPr>
            <w:tcW w:w="4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الرشوة والاحتيال والتعارض والسرية والمخاطر النظامية</w:t>
            </w:r>
            <w:r>
              <w:rPr>
                <w:sz w:val="18"/>
                <w:rtl/>
              </w:rPr>
              <w:t>.</w:t>
            </w:r>
          </w:p>
        </w:tc>
        <w:tc>
          <w:tcPr>
            <w:tcW w:w="28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sz w:val="18"/>
                <w:rtl/>
              </w:rPr>
              <w:t>[</w:t>
            </w:r>
            <w:r>
              <w:rPr>
                <w:rFonts w:cs="Times New Roman"/>
                <w:sz w:val="18"/>
                <w:rtl/>
              </w:rPr>
              <w:t>البيانات</w:t>
            </w:r>
            <w:r>
              <w:rPr>
                <w:sz w:val="18"/>
                <w:rtl/>
              </w:rPr>
              <w:t>]</w:t>
            </w:r>
          </w:p>
        </w:tc>
      </w:tr>
      <w:tr w:rsidR="00594DDA">
        <w:trPr>
          <w:cantSplit/>
          <w:jc w:val="center"/>
        </w:trPr>
        <w:tc>
          <w:tcPr>
            <w:tcW w:w="25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قناة </w:t>
            </w:r>
            <w:r>
              <w:rPr>
                <w:rFonts w:cs="Times New Roman"/>
                <w:sz w:val="18"/>
                <w:rtl/>
              </w:rPr>
              <w:t>البلاغ المستقلة</w:t>
            </w:r>
          </w:p>
        </w:tc>
        <w:tc>
          <w:tcPr>
            <w:tcW w:w="4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البلاغات الحساسة أو المتعلقة بقيادي أو عند الخوف من الانتقام</w:t>
            </w:r>
            <w:r>
              <w:rPr>
                <w:sz w:val="18"/>
                <w:rtl/>
              </w:rPr>
              <w:t>.</w:t>
            </w:r>
          </w:p>
        </w:tc>
        <w:tc>
          <w:tcPr>
            <w:tcW w:w="28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sz w:val="18"/>
                <w:rtl/>
              </w:rPr>
              <w:t>[</w:t>
            </w:r>
            <w:r>
              <w:rPr>
                <w:rFonts w:cs="Times New Roman"/>
                <w:sz w:val="18"/>
                <w:rtl/>
              </w:rPr>
              <w:t>الرابط</w:t>
            </w:r>
            <w:r>
              <w:rPr>
                <w:sz w:val="18"/>
                <w:rtl/>
              </w:rPr>
              <w:t>/</w:t>
            </w:r>
            <w:r>
              <w:rPr>
                <w:rFonts w:cs="Times New Roman"/>
                <w:sz w:val="18"/>
                <w:rtl/>
              </w:rPr>
              <w:t>الهاتف</w:t>
            </w:r>
            <w:r>
              <w:rPr>
                <w:sz w:val="18"/>
                <w:rtl/>
              </w:rPr>
              <w:t>]</w:t>
            </w:r>
          </w:p>
        </w:tc>
      </w:tr>
      <w:tr w:rsidR="00594DDA">
        <w:trPr>
          <w:cantSplit/>
          <w:jc w:val="center"/>
        </w:trPr>
        <w:tc>
          <w:tcPr>
            <w:tcW w:w="25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الطوارئ والجهات المختصة</w:t>
            </w:r>
          </w:p>
        </w:tc>
        <w:tc>
          <w:tcPr>
            <w:tcW w:w="40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الخطر الفوري أو الجريمة أو البلاغ الذي يقتضي جهة مختصة</w:t>
            </w:r>
            <w:r>
              <w:rPr>
                <w:sz w:val="18"/>
                <w:rtl/>
              </w:rPr>
              <w:t>.</w:t>
            </w:r>
          </w:p>
        </w:tc>
        <w:tc>
          <w:tcPr>
            <w:tcW w:w="28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sz w:val="18"/>
                <w:rtl/>
              </w:rPr>
              <w:t>[</w:t>
            </w:r>
            <w:r>
              <w:rPr>
                <w:rFonts w:cs="Times New Roman"/>
                <w:sz w:val="18"/>
                <w:rtl/>
              </w:rPr>
              <w:t>وفق الحالة</w:t>
            </w:r>
            <w:r>
              <w:rPr>
                <w:sz w:val="18"/>
                <w:rtl/>
              </w:rPr>
              <w:t>]</w:t>
            </w:r>
          </w:p>
        </w:tc>
      </w:tr>
    </w:tbl>
    <w:p w:rsidR="00594DDA" w:rsidRDefault="00594DDA" w:rsidP="00E677CE">
      <w:pPr>
        <w:spacing w:after="0"/>
        <w:jc w:val="left"/>
        <w:rPr>
          <w:rFonts w:hint="eastAsia"/>
        </w:rPr>
      </w:pPr>
    </w:p>
    <w:p w:rsidR="00594DDA" w:rsidRDefault="00BA10EA" w:rsidP="00E677CE">
      <w:pPr>
        <w:numPr>
          <w:ilvl w:val="0"/>
          <w:numId w:val="2"/>
        </w:numPr>
        <w:jc w:val="left"/>
        <w:rPr>
          <w:rFonts w:hint="eastAsia"/>
        </w:rPr>
      </w:pPr>
      <w:r>
        <w:rPr>
          <w:rFonts w:cs="Times New Roman"/>
          <w:rtl/>
        </w:rPr>
        <w:t xml:space="preserve">لا يلزم المرور بالتسلسل الإداري إذا كان المدير طرفًا أو كانت </w:t>
      </w:r>
      <w:r>
        <w:rPr>
          <w:rFonts w:cs="Times New Roman"/>
          <w:rtl/>
        </w:rPr>
        <w:t>الواقعة جسيمة أو كان التأخير يزيد الخطر</w:t>
      </w:r>
      <w:r>
        <w:rPr>
          <w:rtl/>
        </w:rPr>
        <w:t>.</w:t>
      </w:r>
    </w:p>
    <w:p w:rsidR="00594DDA" w:rsidRDefault="00BA10EA" w:rsidP="00E677CE">
      <w:pPr>
        <w:numPr>
          <w:ilvl w:val="0"/>
          <w:numId w:val="2"/>
        </w:numPr>
        <w:jc w:val="left"/>
        <w:rPr>
          <w:rFonts w:hint="eastAsia"/>
        </w:rPr>
      </w:pPr>
      <w:r>
        <w:rPr>
          <w:rFonts w:cs="Times New Roman"/>
          <w:rtl/>
        </w:rPr>
        <w:t>لا تمنع القنوات الداخلية التواصل مع الجهات المختصة، ولا يجوز طلب التنازل عن حق نظامي مقابل معالجة البلاغ</w:t>
      </w:r>
      <w:r>
        <w:rPr>
          <w:rtl/>
        </w:rPr>
        <w:t>.</w:t>
      </w:r>
    </w:p>
    <w:p w:rsidR="00594DDA" w:rsidRDefault="00BA10EA" w:rsidP="00E677CE">
      <w:pPr>
        <w:pStyle w:val="1"/>
        <w:jc w:val="left"/>
      </w:pPr>
      <w:r>
        <w:rPr>
          <w:rFonts w:ascii="DejaVu Sans" w:hAnsi="DejaVu Sans" w:cs="DejaVu Sans"/>
          <w:rtl/>
        </w:rPr>
        <w:t xml:space="preserve">21. </w:t>
      </w:r>
      <w:r>
        <w:rPr>
          <w:rFonts w:ascii="DejaVu Sans" w:hAnsi="DejaVu Sans" w:cs="Times New Roman"/>
          <w:rtl/>
        </w:rPr>
        <w:t>استقبال البلاغ والفرز</w:t>
      </w:r>
    </w:p>
    <w:tbl>
      <w:tblPr>
        <w:tblStyle w:val="afa"/>
        <w:tblW w:w="9360" w:type="dxa"/>
        <w:jc w:val="center"/>
        <w:tblLayout w:type="fixed"/>
        <w:tblLook w:val="04A0" w:firstRow="1" w:lastRow="0" w:firstColumn="1" w:lastColumn="0" w:noHBand="0" w:noVBand="1"/>
      </w:tblPr>
      <w:tblGrid>
        <w:gridCol w:w="1700"/>
        <w:gridCol w:w="5760"/>
        <w:gridCol w:w="1900"/>
      </w:tblGrid>
      <w:tr w:rsidR="00594DDA">
        <w:trPr>
          <w:cantSplit/>
          <w:tblHeader/>
          <w:jc w:val="center"/>
        </w:trPr>
        <w:tc>
          <w:tcPr>
            <w:tcW w:w="170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المرحلة</w:t>
            </w:r>
          </w:p>
        </w:tc>
        <w:tc>
          <w:tcPr>
            <w:tcW w:w="576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الإجراء</w:t>
            </w:r>
          </w:p>
        </w:tc>
        <w:tc>
          <w:tcPr>
            <w:tcW w:w="190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المدة الاسترشادية</w:t>
            </w:r>
          </w:p>
        </w:tc>
      </w:tr>
      <w:tr w:rsidR="00594DDA">
        <w:trPr>
          <w:cantSplit/>
          <w:jc w:val="center"/>
        </w:trPr>
        <w:tc>
          <w:tcPr>
            <w:tcW w:w="17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الاستلام</w:t>
            </w:r>
          </w:p>
        </w:tc>
        <w:tc>
          <w:tcPr>
            <w:tcW w:w="57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تسجيل البلاغ برقم مرجعي وتأكيد الاستلام</w:t>
            </w:r>
            <w:r>
              <w:rPr>
                <w:rFonts w:cs="Times New Roman"/>
                <w:sz w:val="18"/>
                <w:rtl/>
              </w:rPr>
              <w:t xml:space="preserve"> إن أمكن</w:t>
            </w:r>
            <w:r>
              <w:rPr>
                <w:sz w:val="18"/>
                <w:rtl/>
              </w:rPr>
              <w:t>.</w:t>
            </w:r>
          </w:p>
        </w:tc>
        <w:tc>
          <w:tcPr>
            <w:tcW w:w="1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خلال </w:t>
            </w:r>
            <w:r>
              <w:rPr>
                <w:sz w:val="18"/>
                <w:rtl/>
              </w:rPr>
              <w:t>[</w:t>
            </w:r>
            <w:r>
              <w:rPr>
                <w:rFonts w:cs="Times New Roman"/>
                <w:sz w:val="18"/>
                <w:rtl/>
              </w:rPr>
              <w:t>يومي عمل</w:t>
            </w:r>
            <w:r>
              <w:rPr>
                <w:sz w:val="18"/>
                <w:rtl/>
              </w:rPr>
              <w:t>]</w:t>
            </w:r>
          </w:p>
        </w:tc>
      </w:tr>
      <w:tr w:rsidR="00594DDA">
        <w:trPr>
          <w:cantSplit/>
          <w:jc w:val="center"/>
        </w:trPr>
        <w:tc>
          <w:tcPr>
            <w:tcW w:w="17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تقييم الخطر</w:t>
            </w:r>
          </w:p>
        </w:tc>
        <w:tc>
          <w:tcPr>
            <w:tcW w:w="57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تحديد السلامة وحفظ الأدلة وتعارض المصالح والحاجة لتدبير مؤقت</w:t>
            </w:r>
            <w:r>
              <w:rPr>
                <w:sz w:val="18"/>
                <w:rtl/>
              </w:rPr>
              <w:t>.</w:t>
            </w:r>
          </w:p>
        </w:tc>
        <w:tc>
          <w:tcPr>
            <w:tcW w:w="1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فورًا</w:t>
            </w:r>
            <w:r>
              <w:rPr>
                <w:sz w:val="18"/>
                <w:rtl/>
              </w:rPr>
              <w:t>/</w:t>
            </w:r>
            <w:r>
              <w:rPr>
                <w:rFonts w:cs="Times New Roman"/>
                <w:sz w:val="18"/>
                <w:rtl/>
              </w:rPr>
              <w:t xml:space="preserve">خلال </w:t>
            </w:r>
            <w:r>
              <w:rPr>
                <w:sz w:val="18"/>
                <w:rtl/>
              </w:rPr>
              <w:t xml:space="preserve">[24 </w:t>
            </w:r>
            <w:r>
              <w:rPr>
                <w:rFonts w:cs="Times New Roman"/>
                <w:sz w:val="18"/>
                <w:rtl/>
              </w:rPr>
              <w:t>ساعة</w:t>
            </w:r>
            <w:r>
              <w:rPr>
                <w:sz w:val="18"/>
                <w:rtl/>
              </w:rPr>
              <w:t>]</w:t>
            </w:r>
          </w:p>
        </w:tc>
      </w:tr>
      <w:tr w:rsidR="00594DDA">
        <w:trPr>
          <w:cantSplit/>
          <w:jc w:val="center"/>
        </w:trPr>
        <w:tc>
          <w:tcPr>
            <w:tcW w:w="17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الفرز</w:t>
            </w:r>
          </w:p>
        </w:tc>
        <w:tc>
          <w:tcPr>
            <w:tcW w:w="57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تحديد الاختصاص ونطاق المراجعة والمحقق المستقل وخطة التواصل</w:t>
            </w:r>
            <w:r>
              <w:rPr>
                <w:sz w:val="18"/>
                <w:rtl/>
              </w:rPr>
              <w:t>.</w:t>
            </w:r>
          </w:p>
        </w:tc>
        <w:tc>
          <w:tcPr>
            <w:tcW w:w="1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خلال </w:t>
            </w:r>
            <w:r>
              <w:rPr>
                <w:sz w:val="18"/>
                <w:rtl/>
              </w:rPr>
              <w:t xml:space="preserve">[5 </w:t>
            </w:r>
            <w:r>
              <w:rPr>
                <w:rFonts w:cs="Times New Roman"/>
                <w:sz w:val="18"/>
                <w:rtl/>
              </w:rPr>
              <w:t>أيام عمل</w:t>
            </w:r>
            <w:r>
              <w:rPr>
                <w:sz w:val="18"/>
                <w:rtl/>
              </w:rPr>
              <w:t>]</w:t>
            </w:r>
          </w:p>
        </w:tc>
      </w:tr>
      <w:tr w:rsidR="00594DDA">
        <w:trPr>
          <w:cantSplit/>
          <w:jc w:val="center"/>
        </w:trPr>
        <w:tc>
          <w:tcPr>
            <w:tcW w:w="17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التحقيق</w:t>
            </w:r>
          </w:p>
        </w:tc>
        <w:tc>
          <w:tcPr>
            <w:tcW w:w="57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جمع الأدلة ومقابلة الأطراف ومنح فرصة </w:t>
            </w:r>
            <w:r>
              <w:rPr>
                <w:rFonts w:cs="Times New Roman"/>
                <w:sz w:val="18"/>
                <w:rtl/>
              </w:rPr>
              <w:t>عادلة للرد وتوثيق الوقائع</w:t>
            </w:r>
            <w:r>
              <w:rPr>
                <w:sz w:val="18"/>
                <w:rtl/>
              </w:rPr>
              <w:t>.</w:t>
            </w:r>
          </w:p>
        </w:tc>
        <w:tc>
          <w:tcPr>
            <w:tcW w:w="1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خلال </w:t>
            </w:r>
            <w:r>
              <w:rPr>
                <w:sz w:val="18"/>
                <w:rtl/>
              </w:rPr>
              <w:t xml:space="preserve">[30 </w:t>
            </w:r>
            <w:r>
              <w:rPr>
                <w:rFonts w:cs="Times New Roman"/>
                <w:sz w:val="18"/>
                <w:rtl/>
              </w:rPr>
              <w:t>يومًا</w:t>
            </w:r>
            <w:r>
              <w:rPr>
                <w:sz w:val="18"/>
                <w:rtl/>
              </w:rPr>
              <w:t xml:space="preserve">] </w:t>
            </w:r>
            <w:r>
              <w:rPr>
                <w:rFonts w:cs="Times New Roman"/>
                <w:sz w:val="18"/>
                <w:rtl/>
              </w:rPr>
              <w:t>ما أمكن</w:t>
            </w:r>
          </w:p>
        </w:tc>
      </w:tr>
      <w:tr w:rsidR="00594DDA">
        <w:trPr>
          <w:cantSplit/>
          <w:jc w:val="center"/>
        </w:trPr>
        <w:tc>
          <w:tcPr>
            <w:tcW w:w="17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lastRenderedPageBreak/>
              <w:t>القرار</w:t>
            </w:r>
          </w:p>
        </w:tc>
        <w:tc>
          <w:tcPr>
            <w:tcW w:w="57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اعتماد النتيجة والإجراءات وإبلاغ الأطراف بالقدر المسموح</w:t>
            </w:r>
            <w:r>
              <w:rPr>
                <w:sz w:val="18"/>
                <w:rtl/>
              </w:rPr>
              <w:t>.</w:t>
            </w:r>
          </w:p>
        </w:tc>
        <w:tc>
          <w:tcPr>
            <w:tcW w:w="1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خلال </w:t>
            </w:r>
            <w:r>
              <w:rPr>
                <w:sz w:val="18"/>
                <w:rtl/>
              </w:rPr>
              <w:t xml:space="preserve">[5 </w:t>
            </w:r>
            <w:r>
              <w:rPr>
                <w:rFonts w:cs="Times New Roman"/>
                <w:sz w:val="18"/>
                <w:rtl/>
              </w:rPr>
              <w:t>أيام عمل</w:t>
            </w:r>
            <w:r>
              <w:rPr>
                <w:sz w:val="18"/>
                <w:rtl/>
              </w:rPr>
              <w:t xml:space="preserve">] </w:t>
            </w:r>
            <w:r>
              <w:rPr>
                <w:rFonts w:cs="Times New Roman"/>
                <w:sz w:val="18"/>
                <w:rtl/>
              </w:rPr>
              <w:t>من التقرير</w:t>
            </w:r>
          </w:p>
        </w:tc>
      </w:tr>
    </w:tbl>
    <w:p w:rsidR="00594DDA" w:rsidRDefault="00594DDA" w:rsidP="00E677CE">
      <w:pPr>
        <w:spacing w:after="0"/>
        <w:jc w:val="left"/>
        <w:rPr>
          <w:rFonts w:hint="eastAsia"/>
        </w:rPr>
      </w:pPr>
    </w:p>
    <w:p w:rsidR="00594DDA" w:rsidRDefault="00BA10EA" w:rsidP="00E677CE">
      <w:pPr>
        <w:numPr>
          <w:ilvl w:val="0"/>
          <w:numId w:val="2"/>
        </w:numPr>
        <w:jc w:val="left"/>
        <w:rPr>
          <w:rFonts w:hint="eastAsia"/>
        </w:rPr>
      </w:pPr>
      <w:r>
        <w:rPr>
          <w:rFonts w:cs="Times New Roman"/>
          <w:rtl/>
        </w:rPr>
        <w:t>تمدد المدة عند التعقيد أو انتظار جهة خارجية، مع توثيق السبب وتحديث المبلّغ دون كشف معلومات التحقيق</w:t>
      </w:r>
      <w:r>
        <w:rPr>
          <w:rtl/>
        </w:rPr>
        <w:t>.</w:t>
      </w:r>
    </w:p>
    <w:p w:rsidR="00594DDA" w:rsidRDefault="00BA10EA" w:rsidP="00E677CE">
      <w:pPr>
        <w:numPr>
          <w:ilvl w:val="0"/>
          <w:numId w:val="2"/>
        </w:numPr>
        <w:jc w:val="left"/>
        <w:rPr>
          <w:rFonts w:hint="eastAsia"/>
        </w:rPr>
      </w:pPr>
      <w:r>
        <w:rPr>
          <w:rFonts w:cs="Times New Roman"/>
          <w:rtl/>
        </w:rPr>
        <w:t xml:space="preserve">تفرز </w:t>
      </w:r>
      <w:r>
        <w:rPr>
          <w:rFonts w:cs="Times New Roman"/>
          <w:rtl/>
        </w:rPr>
        <w:t>البلاغات الكيدية أو عديمة الصلة، لكن عدم كفاية الدليل لا يعني سوء النية ولا يبرر إجراءً ضد المبلّغ</w:t>
      </w:r>
      <w:r>
        <w:rPr>
          <w:rtl/>
        </w:rPr>
        <w:t>.</w:t>
      </w:r>
    </w:p>
    <w:p w:rsidR="00594DDA" w:rsidRDefault="00BA10EA" w:rsidP="00E677CE">
      <w:pPr>
        <w:pStyle w:val="1"/>
        <w:jc w:val="left"/>
      </w:pPr>
      <w:r>
        <w:rPr>
          <w:rFonts w:ascii="DejaVu Sans" w:hAnsi="DejaVu Sans" w:cs="DejaVu Sans"/>
          <w:rtl/>
        </w:rPr>
        <w:t xml:space="preserve">22. </w:t>
      </w:r>
      <w:r>
        <w:rPr>
          <w:rFonts w:ascii="DejaVu Sans" w:hAnsi="DejaVu Sans" w:cs="Times New Roman"/>
          <w:rtl/>
        </w:rPr>
        <w:t>التحقيق العادل والسرية</w:t>
      </w:r>
    </w:p>
    <w:p w:rsidR="00594DDA" w:rsidRDefault="00BA10EA" w:rsidP="00E677CE">
      <w:pPr>
        <w:numPr>
          <w:ilvl w:val="0"/>
          <w:numId w:val="2"/>
        </w:numPr>
        <w:jc w:val="left"/>
        <w:rPr>
          <w:rFonts w:hint="eastAsia"/>
        </w:rPr>
      </w:pPr>
      <w:r>
        <w:rPr>
          <w:rFonts w:cs="Times New Roman"/>
          <w:rtl/>
        </w:rPr>
        <w:t>يختار محقق أو لجنة بلا تعارض مصالح وبصلاحية للوصول إلى المعلومات، ويجوز الاستعانة بطرف مستقل عند الحساسية</w:t>
      </w:r>
      <w:r>
        <w:rPr>
          <w:rtl/>
        </w:rPr>
        <w:t>.</w:t>
      </w:r>
    </w:p>
    <w:p w:rsidR="00594DDA" w:rsidRDefault="00BA10EA" w:rsidP="00E677CE">
      <w:pPr>
        <w:numPr>
          <w:ilvl w:val="0"/>
          <w:numId w:val="2"/>
        </w:numPr>
        <w:jc w:val="left"/>
        <w:rPr>
          <w:rFonts w:hint="eastAsia"/>
        </w:rPr>
      </w:pPr>
      <w:r>
        <w:rPr>
          <w:rFonts w:cs="Times New Roman"/>
          <w:rtl/>
        </w:rPr>
        <w:t xml:space="preserve">تفصل الوقائع عن </w:t>
      </w:r>
      <w:r>
        <w:rPr>
          <w:rFonts w:cs="Times New Roman"/>
          <w:rtl/>
        </w:rPr>
        <w:t>الآراء، وتحفظ الأدلة الأصلية وسلسلة حيازتها، وتتاح للمشكو في حقه فرصة معرفة الادعاء الجوهري والرد عليه بما لا يضر الشهود أو الأدلة</w:t>
      </w:r>
      <w:r>
        <w:rPr>
          <w:rtl/>
        </w:rPr>
        <w:t>.</w:t>
      </w:r>
    </w:p>
    <w:p w:rsidR="00594DDA" w:rsidRDefault="00BA10EA" w:rsidP="00E677CE">
      <w:pPr>
        <w:numPr>
          <w:ilvl w:val="0"/>
          <w:numId w:val="2"/>
        </w:numPr>
        <w:jc w:val="left"/>
        <w:rPr>
          <w:rFonts w:hint="eastAsia"/>
        </w:rPr>
      </w:pPr>
      <w:r>
        <w:rPr>
          <w:rFonts w:cs="Times New Roman"/>
          <w:rtl/>
        </w:rPr>
        <w:t>تطبق السرية على أساس الحاجة للمعرفة، ولا يمكن ضمان سرية مطلقة إذا تطلب التحقيق أو النظام الإفصاح</w:t>
      </w:r>
      <w:r>
        <w:rPr>
          <w:rtl/>
        </w:rPr>
        <w:t>.</w:t>
      </w:r>
    </w:p>
    <w:p w:rsidR="00594DDA" w:rsidRDefault="00BA10EA" w:rsidP="00E677CE">
      <w:pPr>
        <w:numPr>
          <w:ilvl w:val="0"/>
          <w:numId w:val="2"/>
        </w:numPr>
        <w:jc w:val="left"/>
        <w:rPr>
          <w:rFonts w:hint="eastAsia"/>
        </w:rPr>
      </w:pPr>
      <w:r>
        <w:rPr>
          <w:rFonts w:cs="Times New Roman"/>
          <w:rtl/>
        </w:rPr>
        <w:t>تتخذ النتيجة على معيار الإ</w:t>
      </w:r>
      <w:r>
        <w:rPr>
          <w:rFonts w:cs="Times New Roman"/>
          <w:rtl/>
        </w:rPr>
        <w:t>ثبات المعتمد داخليًا وبالاستناد إلى الأدلة المتاحة، مع توثيق المنهج والنتيجة والتوصية</w:t>
      </w:r>
      <w:r>
        <w:rPr>
          <w:rtl/>
        </w:rPr>
        <w:t>.</w:t>
      </w:r>
    </w:p>
    <w:p w:rsidR="00594DDA" w:rsidRDefault="00BA10EA" w:rsidP="00E677CE">
      <w:pPr>
        <w:numPr>
          <w:ilvl w:val="0"/>
          <w:numId w:val="2"/>
        </w:numPr>
        <w:jc w:val="left"/>
        <w:rPr>
          <w:rFonts w:hint="eastAsia"/>
        </w:rPr>
      </w:pPr>
      <w:r>
        <w:rPr>
          <w:rFonts w:cs="Times New Roman"/>
          <w:rtl/>
        </w:rPr>
        <w:t xml:space="preserve">لا يشارك صاحب البلاغ أو المشكو في حقه في اعتماد النتيجة، ويجوز طلب مراجعة إجرائية وفق </w:t>
      </w:r>
      <w:r>
        <w:rPr>
          <w:rtl/>
        </w:rPr>
        <w:t>[</w:t>
      </w:r>
      <w:r>
        <w:rPr>
          <w:rFonts w:cs="Times New Roman"/>
          <w:rtl/>
        </w:rPr>
        <w:t>الآلية</w:t>
      </w:r>
      <w:r>
        <w:rPr>
          <w:rtl/>
        </w:rPr>
        <w:t>/</w:t>
      </w:r>
      <w:r>
        <w:rPr>
          <w:rFonts w:cs="Times New Roman"/>
          <w:rtl/>
        </w:rPr>
        <w:t>المدة</w:t>
      </w:r>
      <w:r>
        <w:rPr>
          <w:rtl/>
        </w:rPr>
        <w:t>].</w:t>
      </w:r>
    </w:p>
    <w:p w:rsidR="00594DDA" w:rsidRDefault="00BA10EA" w:rsidP="00E677CE">
      <w:pPr>
        <w:pStyle w:val="1"/>
        <w:jc w:val="left"/>
      </w:pPr>
      <w:r>
        <w:rPr>
          <w:rFonts w:ascii="DejaVu Sans" w:hAnsi="DejaVu Sans" w:cs="DejaVu Sans"/>
          <w:rtl/>
        </w:rPr>
        <w:t xml:space="preserve">23. </w:t>
      </w:r>
      <w:r>
        <w:rPr>
          <w:rFonts w:ascii="DejaVu Sans" w:hAnsi="DejaVu Sans" w:cs="Times New Roman"/>
          <w:rtl/>
        </w:rPr>
        <w:t>الحماية من الانتقام</w:t>
      </w:r>
    </w:p>
    <w:p w:rsidR="00594DDA" w:rsidRDefault="00BA10EA" w:rsidP="00E677CE">
      <w:pPr>
        <w:numPr>
          <w:ilvl w:val="0"/>
          <w:numId w:val="2"/>
        </w:numPr>
        <w:jc w:val="left"/>
        <w:rPr>
          <w:rFonts w:hint="eastAsia"/>
        </w:rPr>
      </w:pPr>
      <w:r>
        <w:rPr>
          <w:rFonts w:cs="Times New Roman"/>
          <w:rtl/>
        </w:rPr>
        <w:t>يحظر الانتقام من المبلّغ بحسن نية أو الشاهد</w:t>
      </w:r>
      <w:r>
        <w:rPr>
          <w:rFonts w:cs="Times New Roman"/>
          <w:rtl/>
        </w:rPr>
        <w:t xml:space="preserve"> أو من يطلب المشورة أو يرفض سلوكًا مخالفًا أو يتعاون في التحقيق</w:t>
      </w:r>
      <w:r>
        <w:rPr>
          <w:rtl/>
        </w:rPr>
        <w:t>.</w:t>
      </w:r>
    </w:p>
    <w:p w:rsidR="00594DDA" w:rsidRDefault="00BA10EA" w:rsidP="00E677CE">
      <w:pPr>
        <w:numPr>
          <w:ilvl w:val="0"/>
          <w:numId w:val="2"/>
        </w:numPr>
        <w:jc w:val="left"/>
        <w:rPr>
          <w:rFonts w:hint="eastAsia"/>
        </w:rPr>
      </w:pPr>
      <w:r>
        <w:rPr>
          <w:rFonts w:cs="Times New Roman"/>
          <w:rtl/>
        </w:rPr>
        <w:t>تشمل أمثلة الانتقام</w:t>
      </w:r>
      <w:r>
        <w:rPr>
          <w:rtl/>
        </w:rPr>
        <w:t xml:space="preserve">: </w:t>
      </w:r>
      <w:r>
        <w:rPr>
          <w:rFonts w:cs="Times New Roman"/>
          <w:rtl/>
        </w:rPr>
        <w:t>الفصل أو التهديد أو التخفيض أو النقل العقابي أو الاستبعاد أو تشويه السمعة أو تقييم غير مبرر أو كشف الهوية</w:t>
      </w:r>
      <w:r>
        <w:rPr>
          <w:rtl/>
        </w:rPr>
        <w:t>.</w:t>
      </w:r>
    </w:p>
    <w:p w:rsidR="00594DDA" w:rsidRDefault="00BA10EA" w:rsidP="00E677CE">
      <w:pPr>
        <w:numPr>
          <w:ilvl w:val="0"/>
          <w:numId w:val="2"/>
        </w:numPr>
        <w:jc w:val="left"/>
        <w:rPr>
          <w:rFonts w:hint="eastAsia"/>
        </w:rPr>
      </w:pPr>
      <w:r>
        <w:rPr>
          <w:rFonts w:cs="Times New Roman"/>
          <w:rtl/>
        </w:rPr>
        <w:t>يبلغ عن الانتقام فورًا ويعالج كواقعة مستقلة وعاجلة، مع إمكان ات</w:t>
      </w:r>
      <w:r>
        <w:rPr>
          <w:rFonts w:cs="Times New Roman"/>
          <w:rtl/>
        </w:rPr>
        <w:t>خاذ تدابير حماية ومراجعة القرارات اللاحقة ذات الصلة</w:t>
      </w:r>
      <w:r>
        <w:rPr>
          <w:rtl/>
        </w:rPr>
        <w:t>.</w:t>
      </w:r>
    </w:p>
    <w:p w:rsidR="00594DDA" w:rsidRDefault="00BA10EA" w:rsidP="00E677CE">
      <w:pPr>
        <w:numPr>
          <w:ilvl w:val="0"/>
          <w:numId w:val="2"/>
        </w:numPr>
        <w:jc w:val="left"/>
        <w:rPr>
          <w:rFonts w:hint="eastAsia"/>
        </w:rPr>
      </w:pPr>
      <w:r>
        <w:rPr>
          <w:rFonts w:cs="Times New Roman"/>
          <w:rtl/>
        </w:rPr>
        <w:t>لا تمنع الحماية اتخاذ إجراء مشروع ومستقل عن البلاغ إذا كان موثقًا ومتسقًا، ويجب فصل سببه وإثباته بوضوح</w:t>
      </w:r>
      <w:r>
        <w:rPr>
          <w:rtl/>
        </w:rPr>
        <w:t>.</w:t>
      </w:r>
    </w:p>
    <w:p w:rsidR="00594DDA" w:rsidRDefault="00BA10EA" w:rsidP="00E677CE">
      <w:pPr>
        <w:pStyle w:val="1"/>
        <w:jc w:val="left"/>
      </w:pPr>
      <w:r>
        <w:rPr>
          <w:rFonts w:ascii="DejaVu Sans" w:hAnsi="DejaVu Sans" w:cs="DejaVu Sans"/>
          <w:rtl/>
        </w:rPr>
        <w:t xml:space="preserve">24. </w:t>
      </w:r>
      <w:r>
        <w:rPr>
          <w:rFonts w:ascii="DejaVu Sans" w:hAnsi="DejaVu Sans" w:cs="Times New Roman"/>
          <w:rtl/>
        </w:rPr>
        <w:t>المخالفات والإجراءات التصحيحية</w:t>
      </w:r>
    </w:p>
    <w:p w:rsidR="00594DDA" w:rsidRDefault="00BA10EA" w:rsidP="00E677CE">
      <w:pPr>
        <w:jc w:val="left"/>
        <w:rPr>
          <w:rFonts w:hint="eastAsia"/>
        </w:rPr>
      </w:pPr>
      <w:r>
        <w:rPr>
          <w:rFonts w:cs="Times New Roman"/>
          <w:rtl/>
        </w:rPr>
        <w:t>تحدد المعالجة بحسب جسامة الفعل وقصده وتكراره وأثره وموقع المسؤول</w:t>
      </w:r>
      <w:r>
        <w:rPr>
          <w:rFonts w:cs="Times New Roman"/>
          <w:rtl/>
        </w:rPr>
        <w:t>ية والتعاون وسوابق مماثلة، وبما يتفق مع النظام ولائحة تنظيم العمل والعقد وإجراءات التحقيق</w:t>
      </w:r>
      <w:r>
        <w:rPr>
          <w:rtl/>
        </w:rPr>
        <w:t>.</w:t>
      </w:r>
    </w:p>
    <w:tbl>
      <w:tblPr>
        <w:tblStyle w:val="afa"/>
        <w:tblW w:w="9360" w:type="dxa"/>
        <w:jc w:val="center"/>
        <w:tblLayout w:type="fixed"/>
        <w:tblLook w:val="04A0" w:firstRow="1" w:lastRow="0" w:firstColumn="1" w:lastColumn="0" w:noHBand="0" w:noVBand="1"/>
      </w:tblPr>
      <w:tblGrid>
        <w:gridCol w:w="2600"/>
        <w:gridCol w:w="6760"/>
      </w:tblGrid>
      <w:tr w:rsidR="00594DDA">
        <w:trPr>
          <w:cantSplit/>
          <w:tblHeader/>
          <w:jc w:val="center"/>
        </w:trPr>
        <w:tc>
          <w:tcPr>
            <w:tcW w:w="260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نوع الإجراء</w:t>
            </w:r>
          </w:p>
        </w:tc>
        <w:tc>
          <w:tcPr>
            <w:tcW w:w="676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أمثلة غير حصرية</w:t>
            </w:r>
          </w:p>
        </w:tc>
      </w:tr>
      <w:tr w:rsidR="00594DDA">
        <w:trPr>
          <w:cantSplit/>
          <w:jc w:val="center"/>
        </w:trPr>
        <w:tc>
          <w:tcPr>
            <w:tcW w:w="26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وقائي</w:t>
            </w:r>
          </w:p>
        </w:tc>
        <w:tc>
          <w:tcPr>
            <w:tcW w:w="67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فصل الصلاحيات، تغيير خط الإبلاغ، حماية البيانات، إيقاف معاملة أو وصول</w:t>
            </w:r>
            <w:r>
              <w:rPr>
                <w:sz w:val="18"/>
                <w:rtl/>
              </w:rPr>
              <w:t>.</w:t>
            </w:r>
          </w:p>
        </w:tc>
      </w:tr>
      <w:tr w:rsidR="00594DDA">
        <w:trPr>
          <w:cantSplit/>
          <w:jc w:val="center"/>
        </w:trPr>
        <w:tc>
          <w:tcPr>
            <w:tcW w:w="26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تصحيحي</w:t>
            </w:r>
          </w:p>
        </w:tc>
        <w:tc>
          <w:tcPr>
            <w:tcW w:w="67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إعادة تدريب، تصحيح سجل أو قرار، رد مبلغ، تعديل </w:t>
            </w:r>
            <w:r>
              <w:rPr>
                <w:rFonts w:cs="Times New Roman"/>
                <w:sz w:val="18"/>
                <w:rtl/>
              </w:rPr>
              <w:t>إجراء أو ضابط رقابي</w:t>
            </w:r>
            <w:r>
              <w:rPr>
                <w:sz w:val="18"/>
                <w:rtl/>
              </w:rPr>
              <w:t>.</w:t>
            </w:r>
          </w:p>
        </w:tc>
      </w:tr>
      <w:tr w:rsidR="00594DDA">
        <w:trPr>
          <w:cantSplit/>
          <w:jc w:val="center"/>
        </w:trPr>
        <w:tc>
          <w:tcPr>
            <w:tcW w:w="26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تأديبي</w:t>
            </w:r>
          </w:p>
        </w:tc>
        <w:tc>
          <w:tcPr>
            <w:tcW w:w="67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إنذار أو جزاء أو إنهاء علاقة وفق الأساس والإجراء النظامي المعتمد</w:t>
            </w:r>
            <w:r>
              <w:rPr>
                <w:sz w:val="18"/>
                <w:rtl/>
              </w:rPr>
              <w:t>.</w:t>
            </w:r>
          </w:p>
        </w:tc>
      </w:tr>
      <w:tr w:rsidR="00594DDA">
        <w:trPr>
          <w:cantSplit/>
          <w:jc w:val="center"/>
        </w:trPr>
        <w:tc>
          <w:tcPr>
            <w:tcW w:w="26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نظامي</w:t>
            </w:r>
            <w:r>
              <w:rPr>
                <w:sz w:val="18"/>
                <w:rtl/>
              </w:rPr>
              <w:t>/</w:t>
            </w:r>
            <w:r>
              <w:rPr>
                <w:rFonts w:cs="Times New Roman"/>
                <w:sz w:val="18"/>
                <w:rtl/>
              </w:rPr>
              <w:t>تعاقدي</w:t>
            </w:r>
          </w:p>
        </w:tc>
        <w:tc>
          <w:tcPr>
            <w:tcW w:w="67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إحالة لجهة مختصة، مطالبة بالتعويض، إنهاء عقد مورد أو استرداد خسارة</w:t>
            </w:r>
            <w:r>
              <w:rPr>
                <w:sz w:val="18"/>
                <w:rtl/>
              </w:rPr>
              <w:t>.</w:t>
            </w:r>
          </w:p>
        </w:tc>
      </w:tr>
    </w:tbl>
    <w:p w:rsidR="00594DDA" w:rsidRDefault="00594DDA" w:rsidP="00E677CE">
      <w:pPr>
        <w:spacing w:after="0"/>
        <w:jc w:val="left"/>
        <w:rPr>
          <w:rFonts w:hint="eastAsia"/>
        </w:rPr>
      </w:pPr>
    </w:p>
    <w:p w:rsidR="00594DDA" w:rsidRDefault="00BA10EA" w:rsidP="00E677CE">
      <w:pPr>
        <w:numPr>
          <w:ilvl w:val="0"/>
          <w:numId w:val="2"/>
        </w:numPr>
        <w:jc w:val="left"/>
        <w:rPr>
          <w:rFonts w:hint="eastAsia"/>
        </w:rPr>
      </w:pPr>
      <w:r>
        <w:rPr>
          <w:rFonts w:cs="Times New Roman"/>
          <w:rtl/>
        </w:rPr>
        <w:t>تطبق الإجراءات باتساق، ولا تعفي المكانة الوظيفية أو تحقيق النتائج من المساءلة</w:t>
      </w:r>
      <w:r>
        <w:rPr>
          <w:rFonts w:cs="Times New Roman"/>
          <w:rtl/>
        </w:rPr>
        <w:t>، كما لا يعلن الجزاء بما يمس الخصوصية دون أساس</w:t>
      </w:r>
      <w:r>
        <w:rPr>
          <w:rtl/>
        </w:rPr>
        <w:t>.</w:t>
      </w:r>
    </w:p>
    <w:p w:rsidR="00594DDA" w:rsidRDefault="00BA10EA" w:rsidP="00E677CE">
      <w:pPr>
        <w:pStyle w:val="1"/>
        <w:jc w:val="left"/>
      </w:pPr>
      <w:r>
        <w:rPr>
          <w:rFonts w:ascii="DejaVu Sans" w:hAnsi="DejaVu Sans" w:cs="DejaVu Sans"/>
          <w:rtl/>
        </w:rPr>
        <w:lastRenderedPageBreak/>
        <w:t xml:space="preserve">25. </w:t>
      </w:r>
      <w:r>
        <w:rPr>
          <w:rFonts w:ascii="DejaVu Sans" w:hAnsi="DejaVu Sans" w:cs="Times New Roman"/>
          <w:rtl/>
        </w:rPr>
        <w:t>الأدوار والمسؤوليات</w:t>
      </w:r>
    </w:p>
    <w:tbl>
      <w:tblPr>
        <w:tblStyle w:val="afa"/>
        <w:tblW w:w="9360" w:type="dxa"/>
        <w:jc w:val="center"/>
        <w:tblLayout w:type="fixed"/>
        <w:tblLook w:val="04A0" w:firstRow="1" w:lastRow="0" w:firstColumn="1" w:lastColumn="0" w:noHBand="0" w:noVBand="1"/>
      </w:tblPr>
      <w:tblGrid>
        <w:gridCol w:w="2900"/>
        <w:gridCol w:w="6460"/>
      </w:tblGrid>
      <w:tr w:rsidR="00594DDA">
        <w:trPr>
          <w:cantSplit/>
          <w:tblHeader/>
          <w:jc w:val="center"/>
        </w:trPr>
        <w:tc>
          <w:tcPr>
            <w:tcW w:w="290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الجهة</w:t>
            </w:r>
          </w:p>
        </w:tc>
        <w:tc>
          <w:tcPr>
            <w:tcW w:w="646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المسؤوليات الأساسية</w:t>
            </w:r>
          </w:p>
        </w:tc>
      </w:tr>
      <w:tr w:rsidR="00594DDA">
        <w:trPr>
          <w:cantSplit/>
          <w:jc w:val="center"/>
        </w:trPr>
        <w:tc>
          <w:tcPr>
            <w:tcW w:w="2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مجلس الإدارة</w:t>
            </w:r>
            <w:r>
              <w:rPr>
                <w:sz w:val="18"/>
                <w:rtl/>
              </w:rPr>
              <w:t>/</w:t>
            </w:r>
            <w:r>
              <w:rPr>
                <w:rFonts w:cs="Times New Roman"/>
                <w:sz w:val="18"/>
                <w:rtl/>
              </w:rPr>
              <w:t>الإدارة العليا</w:t>
            </w:r>
          </w:p>
        </w:tc>
        <w:tc>
          <w:tcPr>
            <w:tcW w:w="6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اعتماد السياسة والقدوة وتوفير الاستقلال والموارد ومراجعة المخاطر الجوهرية</w:t>
            </w:r>
            <w:r>
              <w:rPr>
                <w:sz w:val="18"/>
                <w:rtl/>
              </w:rPr>
              <w:t>.</w:t>
            </w:r>
          </w:p>
        </w:tc>
      </w:tr>
      <w:tr w:rsidR="00594DDA">
        <w:trPr>
          <w:cantSplit/>
          <w:jc w:val="center"/>
        </w:trPr>
        <w:tc>
          <w:tcPr>
            <w:tcW w:w="2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الموارد البشرية</w:t>
            </w:r>
          </w:p>
        </w:tc>
        <w:tc>
          <w:tcPr>
            <w:tcW w:w="6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التوعية واستقبال قضايا السلوك وإدارة </w:t>
            </w:r>
            <w:r>
              <w:rPr>
                <w:rFonts w:cs="Times New Roman"/>
                <w:sz w:val="18"/>
                <w:rtl/>
              </w:rPr>
              <w:t>الإجراءات الوظيفية والسجلات والاتساق</w:t>
            </w:r>
            <w:r>
              <w:rPr>
                <w:sz w:val="18"/>
                <w:rtl/>
              </w:rPr>
              <w:t>.</w:t>
            </w:r>
          </w:p>
        </w:tc>
      </w:tr>
      <w:tr w:rsidR="00594DDA">
        <w:trPr>
          <w:cantSplit/>
          <w:jc w:val="center"/>
        </w:trPr>
        <w:tc>
          <w:tcPr>
            <w:tcW w:w="2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الالتزام</w:t>
            </w:r>
            <w:r>
              <w:rPr>
                <w:sz w:val="18"/>
                <w:rtl/>
              </w:rPr>
              <w:t>/</w:t>
            </w:r>
            <w:r>
              <w:rPr>
                <w:rFonts w:cs="Times New Roman"/>
                <w:sz w:val="18"/>
                <w:rtl/>
              </w:rPr>
              <w:t>القانونية</w:t>
            </w:r>
          </w:p>
        </w:tc>
        <w:tc>
          <w:tcPr>
            <w:tcW w:w="6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المشورة والإفصاحات والبلاغات النظامية ومخاطر الرشوة والفساد والجهات المختصة</w:t>
            </w:r>
            <w:r>
              <w:rPr>
                <w:sz w:val="18"/>
                <w:rtl/>
              </w:rPr>
              <w:t>.</w:t>
            </w:r>
          </w:p>
        </w:tc>
      </w:tr>
      <w:tr w:rsidR="00594DDA">
        <w:trPr>
          <w:cantSplit/>
          <w:jc w:val="center"/>
        </w:trPr>
        <w:tc>
          <w:tcPr>
            <w:tcW w:w="2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التدقيق الداخلي</w:t>
            </w:r>
          </w:p>
        </w:tc>
        <w:tc>
          <w:tcPr>
            <w:tcW w:w="6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تقييم فعالية الضوابط والتحقق المستقل دون تولي ملكية القرار التنفيذي</w:t>
            </w:r>
            <w:r>
              <w:rPr>
                <w:sz w:val="18"/>
                <w:rtl/>
              </w:rPr>
              <w:t>.</w:t>
            </w:r>
          </w:p>
        </w:tc>
      </w:tr>
      <w:tr w:rsidR="00594DDA">
        <w:trPr>
          <w:cantSplit/>
          <w:jc w:val="center"/>
        </w:trPr>
        <w:tc>
          <w:tcPr>
            <w:tcW w:w="2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المديرون</w:t>
            </w:r>
          </w:p>
        </w:tc>
        <w:tc>
          <w:tcPr>
            <w:tcW w:w="6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 xml:space="preserve">القدوة والتدخل المبكر </w:t>
            </w:r>
            <w:r>
              <w:rPr>
                <w:rFonts w:cs="Times New Roman"/>
                <w:sz w:val="18"/>
                <w:rtl/>
              </w:rPr>
              <w:t>والتصعيد وعدم إجراء تحقيق فردي غير مخول أو وعد بسرية مطلقة</w:t>
            </w:r>
            <w:r>
              <w:rPr>
                <w:sz w:val="18"/>
                <w:rtl/>
              </w:rPr>
              <w:t>.</w:t>
            </w:r>
          </w:p>
        </w:tc>
      </w:tr>
      <w:tr w:rsidR="00594DDA">
        <w:trPr>
          <w:cantSplit/>
          <w:jc w:val="center"/>
        </w:trPr>
        <w:tc>
          <w:tcPr>
            <w:tcW w:w="2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الموظفون والمشمولون</w:t>
            </w:r>
          </w:p>
        </w:tc>
        <w:tc>
          <w:tcPr>
            <w:tcW w:w="6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الالتزام وطلب المشورة والإفصاح والإبلاغ والتعاون وحماية المعلومات</w:t>
            </w:r>
            <w:r>
              <w:rPr>
                <w:sz w:val="18"/>
                <w:rtl/>
              </w:rPr>
              <w:t>.</w:t>
            </w:r>
          </w:p>
        </w:tc>
      </w:tr>
      <w:tr w:rsidR="00594DDA">
        <w:trPr>
          <w:cantSplit/>
          <w:jc w:val="center"/>
        </w:trPr>
        <w:tc>
          <w:tcPr>
            <w:tcW w:w="2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تقنية المعلومات</w:t>
            </w:r>
            <w:r>
              <w:rPr>
                <w:sz w:val="18"/>
                <w:rtl/>
              </w:rPr>
              <w:t>/</w:t>
            </w:r>
            <w:r>
              <w:rPr>
                <w:rFonts w:cs="Times New Roman"/>
                <w:sz w:val="18"/>
                <w:rtl/>
              </w:rPr>
              <w:t>الأمن</w:t>
            </w:r>
          </w:p>
        </w:tc>
        <w:tc>
          <w:tcPr>
            <w:tcW w:w="64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rFonts w:cs="Times New Roman"/>
                <w:sz w:val="18"/>
                <w:rtl/>
              </w:rPr>
              <w:t>حفظ الأدلة الرقمية وإدارة الوصول والحوادث والاحتفاظ وفق الصلاحية</w:t>
            </w:r>
            <w:r>
              <w:rPr>
                <w:sz w:val="18"/>
                <w:rtl/>
              </w:rPr>
              <w:t>.</w:t>
            </w:r>
          </w:p>
        </w:tc>
      </w:tr>
    </w:tbl>
    <w:p w:rsidR="00594DDA" w:rsidRDefault="00594DDA" w:rsidP="00E677CE">
      <w:pPr>
        <w:spacing w:after="0"/>
        <w:jc w:val="left"/>
        <w:rPr>
          <w:rFonts w:hint="eastAsia"/>
        </w:rPr>
      </w:pPr>
    </w:p>
    <w:p w:rsidR="00594DDA" w:rsidRDefault="00BA10EA" w:rsidP="00E677CE">
      <w:pPr>
        <w:pStyle w:val="1"/>
        <w:jc w:val="left"/>
      </w:pPr>
      <w:r>
        <w:rPr>
          <w:rFonts w:ascii="DejaVu Sans" w:hAnsi="DejaVu Sans" w:cs="DejaVu Sans"/>
          <w:rtl/>
        </w:rPr>
        <w:t xml:space="preserve">26. </w:t>
      </w:r>
      <w:r>
        <w:rPr>
          <w:rFonts w:ascii="DejaVu Sans" w:hAnsi="DejaVu Sans" w:cs="Times New Roman"/>
          <w:rtl/>
        </w:rPr>
        <w:t>التدريب والإق</w:t>
      </w:r>
      <w:r>
        <w:rPr>
          <w:rFonts w:ascii="DejaVu Sans" w:hAnsi="DejaVu Sans" w:cs="Times New Roman"/>
          <w:rtl/>
        </w:rPr>
        <w:t>رار</w:t>
      </w:r>
    </w:p>
    <w:p w:rsidR="00594DDA" w:rsidRDefault="00BA10EA" w:rsidP="00E677CE">
      <w:pPr>
        <w:numPr>
          <w:ilvl w:val="0"/>
          <w:numId w:val="2"/>
        </w:numPr>
        <w:jc w:val="left"/>
        <w:rPr>
          <w:rFonts w:hint="eastAsia"/>
        </w:rPr>
      </w:pPr>
      <w:r>
        <w:rPr>
          <w:rFonts w:cs="Times New Roman"/>
          <w:rtl/>
        </w:rPr>
        <w:t xml:space="preserve">يتلقى المنضمون تدريبًا عند الالتحاق، ويجدد لجميع المشمولين </w:t>
      </w:r>
      <w:r>
        <w:rPr>
          <w:rtl/>
        </w:rPr>
        <w:t>[</w:t>
      </w:r>
      <w:r>
        <w:rPr>
          <w:rFonts w:cs="Times New Roman"/>
          <w:rtl/>
        </w:rPr>
        <w:t>سنويًا</w:t>
      </w:r>
      <w:r>
        <w:rPr>
          <w:rtl/>
        </w:rPr>
        <w:t>]</w:t>
      </w:r>
      <w:r>
        <w:rPr>
          <w:rFonts w:cs="Times New Roman"/>
          <w:rtl/>
        </w:rPr>
        <w:t>، مع تدريب متخصص للمديرين والمحققين والمشتريات والمبيعات والوظائف عالية المخاطر</w:t>
      </w:r>
      <w:r>
        <w:rPr>
          <w:rtl/>
        </w:rPr>
        <w:t>.</w:t>
      </w:r>
    </w:p>
    <w:p w:rsidR="00594DDA" w:rsidRDefault="00BA10EA" w:rsidP="00E677CE">
      <w:pPr>
        <w:numPr>
          <w:ilvl w:val="0"/>
          <w:numId w:val="2"/>
        </w:numPr>
        <w:jc w:val="left"/>
        <w:rPr>
          <w:rFonts w:hint="eastAsia"/>
        </w:rPr>
      </w:pPr>
      <w:r>
        <w:rPr>
          <w:rFonts w:cs="Times New Roman"/>
          <w:rtl/>
        </w:rPr>
        <w:t xml:space="preserve">يقدم إقرار دوري بفهم السياسة والإفصاح عن التعارض والهدايا والمصالح ذات الصلة، ولا يحول الإقرار دون </w:t>
      </w:r>
      <w:r>
        <w:rPr>
          <w:rFonts w:cs="Times New Roman"/>
          <w:rtl/>
        </w:rPr>
        <w:t>الإفصاح الفوري عند تغير الظروف</w:t>
      </w:r>
      <w:r>
        <w:rPr>
          <w:rtl/>
        </w:rPr>
        <w:t>.</w:t>
      </w:r>
    </w:p>
    <w:p w:rsidR="00594DDA" w:rsidRDefault="00BA10EA" w:rsidP="00E677CE">
      <w:pPr>
        <w:numPr>
          <w:ilvl w:val="0"/>
          <w:numId w:val="2"/>
        </w:numPr>
        <w:jc w:val="left"/>
        <w:rPr>
          <w:rFonts w:hint="eastAsia"/>
        </w:rPr>
      </w:pPr>
      <w:r>
        <w:rPr>
          <w:rFonts w:cs="Times New Roman"/>
          <w:rtl/>
        </w:rPr>
        <w:t>يقاس الفهم بحالات تطبيقية لا بمجرد الحضور، وتتابع حالات عدم الإكمال والتعارضات غير المغلقة</w:t>
      </w:r>
      <w:r>
        <w:rPr>
          <w:rtl/>
        </w:rPr>
        <w:t>.</w:t>
      </w:r>
    </w:p>
    <w:p w:rsidR="00594DDA" w:rsidRDefault="00BA10EA" w:rsidP="00E677CE">
      <w:pPr>
        <w:pStyle w:val="1"/>
        <w:jc w:val="left"/>
      </w:pPr>
      <w:r>
        <w:rPr>
          <w:rFonts w:ascii="DejaVu Sans" w:hAnsi="DejaVu Sans" w:cs="DejaVu Sans"/>
          <w:rtl/>
        </w:rPr>
        <w:t xml:space="preserve">27. </w:t>
      </w:r>
      <w:r>
        <w:rPr>
          <w:rFonts w:ascii="DejaVu Sans" w:hAnsi="DejaVu Sans" w:cs="Times New Roman"/>
          <w:rtl/>
        </w:rPr>
        <w:t>الرقابة والمراجعة</w:t>
      </w:r>
    </w:p>
    <w:p w:rsidR="00594DDA" w:rsidRDefault="00BA10EA" w:rsidP="00E677CE">
      <w:pPr>
        <w:numPr>
          <w:ilvl w:val="0"/>
          <w:numId w:val="2"/>
        </w:numPr>
        <w:jc w:val="left"/>
        <w:rPr>
          <w:rFonts w:hint="eastAsia"/>
        </w:rPr>
      </w:pPr>
      <w:r>
        <w:rPr>
          <w:rFonts w:cs="Times New Roman"/>
          <w:rtl/>
        </w:rPr>
        <w:t>تراجع مؤشرات البلاغات والمدة والانتقام والتكرار ومناطق الخطر والتدريب والهدايا والتعارضات دون كشف غير لازم لله</w:t>
      </w:r>
      <w:r>
        <w:rPr>
          <w:rFonts w:cs="Times New Roman"/>
          <w:rtl/>
        </w:rPr>
        <w:t>وية</w:t>
      </w:r>
      <w:r>
        <w:rPr>
          <w:rtl/>
        </w:rPr>
        <w:t>.</w:t>
      </w:r>
    </w:p>
    <w:p w:rsidR="00594DDA" w:rsidRDefault="00BA10EA" w:rsidP="00E677CE">
      <w:pPr>
        <w:numPr>
          <w:ilvl w:val="0"/>
          <w:numId w:val="2"/>
        </w:numPr>
        <w:jc w:val="left"/>
        <w:rPr>
          <w:rFonts w:hint="eastAsia"/>
        </w:rPr>
      </w:pPr>
      <w:r>
        <w:rPr>
          <w:rFonts w:cs="Times New Roman"/>
          <w:rtl/>
        </w:rPr>
        <w:t>لا يقاس نجاح الثقافة بانخفاض البلاغات وحده؛ فقد يشير الانخفاض إلى ضعف الثقة، لذلك تقارن المؤشرات بنتائج الاستبيانات والمراجعات وقنوات الاستشارة</w:t>
      </w:r>
      <w:r>
        <w:rPr>
          <w:rtl/>
        </w:rPr>
        <w:t>.</w:t>
      </w:r>
    </w:p>
    <w:p w:rsidR="00594DDA" w:rsidRDefault="00BA10EA" w:rsidP="00E677CE">
      <w:pPr>
        <w:numPr>
          <w:ilvl w:val="0"/>
          <w:numId w:val="2"/>
        </w:numPr>
        <w:jc w:val="left"/>
        <w:rPr>
          <w:rFonts w:hint="eastAsia"/>
        </w:rPr>
      </w:pPr>
      <w:r>
        <w:rPr>
          <w:rFonts w:cs="Times New Roman"/>
          <w:rtl/>
        </w:rPr>
        <w:t>تراجع السياسة سنويًا أو عند تعديل نظام أو وقوع حادث جوهري أو ظهور خطر جديد، وتوثق التعديلات وتبلغ للفئات ا</w:t>
      </w:r>
      <w:r>
        <w:rPr>
          <w:rFonts w:cs="Times New Roman"/>
          <w:rtl/>
        </w:rPr>
        <w:t>لمعنية</w:t>
      </w:r>
      <w:r>
        <w:rPr>
          <w:rtl/>
        </w:rPr>
        <w:t>.</w:t>
      </w:r>
    </w:p>
    <w:p w:rsidR="00594DDA" w:rsidRDefault="00BA10EA" w:rsidP="00E677CE">
      <w:pPr>
        <w:pStyle w:val="1"/>
        <w:jc w:val="left"/>
      </w:pPr>
      <w:r>
        <w:rPr>
          <w:rFonts w:ascii="DejaVu Sans" w:hAnsi="DejaVu Sans" w:cs="Times New Roman"/>
          <w:rtl/>
        </w:rPr>
        <w:t xml:space="preserve">ملحق </w:t>
      </w:r>
      <w:r>
        <w:rPr>
          <w:rFonts w:ascii="DejaVu Sans" w:hAnsi="DejaVu Sans" w:cs="DejaVu Sans"/>
          <w:rtl/>
        </w:rPr>
        <w:t>(</w:t>
      </w:r>
      <w:r>
        <w:rPr>
          <w:rFonts w:ascii="DejaVu Sans" w:hAnsi="DejaVu Sans" w:cs="Times New Roman"/>
          <w:rtl/>
        </w:rPr>
        <w:t>أ</w:t>
      </w:r>
      <w:r>
        <w:rPr>
          <w:rFonts w:ascii="DejaVu Sans" w:hAnsi="DejaVu Sans" w:cs="DejaVu Sans"/>
          <w:rtl/>
        </w:rPr>
        <w:t xml:space="preserve">): </w:t>
      </w:r>
      <w:r>
        <w:rPr>
          <w:rFonts w:ascii="DejaVu Sans" w:hAnsi="DejaVu Sans" w:cs="Times New Roman"/>
          <w:rtl/>
        </w:rPr>
        <w:t>نموذج إفصاح تعارض المصالح</w:t>
      </w:r>
    </w:p>
    <w:tbl>
      <w:tblPr>
        <w:tblStyle w:val="afa"/>
        <w:tblW w:w="9360" w:type="dxa"/>
        <w:jc w:val="center"/>
        <w:tblLayout w:type="fixed"/>
        <w:tblLook w:val="04A0" w:firstRow="1" w:lastRow="0" w:firstColumn="1" w:lastColumn="0" w:noHBand="0" w:noVBand="1"/>
      </w:tblPr>
      <w:tblGrid>
        <w:gridCol w:w="3300"/>
        <w:gridCol w:w="6060"/>
      </w:tblGrid>
      <w:tr w:rsidR="00594DDA">
        <w:trPr>
          <w:cantSplit/>
          <w:tblHeader/>
          <w:jc w:val="center"/>
        </w:trPr>
        <w:tc>
          <w:tcPr>
            <w:tcW w:w="330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الحقل</w:t>
            </w:r>
          </w:p>
        </w:tc>
        <w:tc>
          <w:tcPr>
            <w:tcW w:w="606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البيانات</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الاسم</w:t>
            </w:r>
            <w:r>
              <w:rPr>
                <w:sz w:val="17"/>
                <w:rtl/>
              </w:rPr>
              <w:t>/</w:t>
            </w:r>
            <w:r>
              <w:rPr>
                <w:rFonts w:cs="Times New Roman"/>
                <w:sz w:val="17"/>
                <w:rtl/>
              </w:rPr>
              <w:t>الرقم الوظيفي</w:t>
            </w:r>
            <w:r>
              <w:rPr>
                <w:sz w:val="17"/>
                <w:rtl/>
              </w:rPr>
              <w:t>/</w:t>
            </w:r>
            <w:r>
              <w:rPr>
                <w:rFonts w:cs="Times New Roman"/>
                <w:sz w:val="17"/>
                <w:rtl/>
              </w:rPr>
              <w:t>الإدارة</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نوع العلاقة أو المصلحة</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w:t>
            </w:r>
            <w:r>
              <w:rPr>
                <w:rFonts w:cs="Times New Roman"/>
                <w:sz w:val="17"/>
                <w:rtl/>
              </w:rPr>
              <w:t>مالية</w:t>
            </w:r>
            <w:r>
              <w:rPr>
                <w:sz w:val="17"/>
                <w:rtl/>
              </w:rPr>
              <w:t>/</w:t>
            </w:r>
            <w:r>
              <w:rPr>
                <w:rFonts w:cs="Times New Roman"/>
                <w:sz w:val="17"/>
                <w:rtl/>
              </w:rPr>
              <w:t>عائلية</w:t>
            </w:r>
            <w:r>
              <w:rPr>
                <w:sz w:val="17"/>
                <w:rtl/>
              </w:rPr>
              <w:t>/</w:t>
            </w:r>
            <w:r>
              <w:rPr>
                <w:rFonts w:cs="Times New Roman"/>
                <w:sz w:val="17"/>
                <w:rtl/>
              </w:rPr>
              <w:t>عمل خارجي</w:t>
            </w:r>
            <w:r>
              <w:rPr>
                <w:sz w:val="17"/>
                <w:rtl/>
              </w:rPr>
              <w:t>/</w:t>
            </w:r>
            <w:r>
              <w:rPr>
                <w:rFonts w:cs="Times New Roman"/>
                <w:sz w:val="17"/>
                <w:rtl/>
              </w:rPr>
              <w:t>مورد</w:t>
            </w:r>
            <w:r>
              <w:rPr>
                <w:sz w:val="17"/>
                <w:rtl/>
              </w:rPr>
              <w:t>/</w:t>
            </w:r>
            <w:r>
              <w:rPr>
                <w:rFonts w:cs="Times New Roman"/>
                <w:sz w:val="17"/>
                <w:rtl/>
              </w:rPr>
              <w:t>عميل</w:t>
            </w:r>
            <w:r>
              <w:rPr>
                <w:sz w:val="17"/>
                <w:rtl/>
              </w:rPr>
              <w:t>/</w:t>
            </w:r>
            <w:r>
              <w:rPr>
                <w:rFonts w:cs="Times New Roman"/>
                <w:sz w:val="17"/>
                <w:rtl/>
              </w:rPr>
              <w:t>أخرى</w:t>
            </w:r>
            <w:r>
              <w:rPr>
                <w:sz w:val="17"/>
                <w:rtl/>
              </w:rPr>
              <w:t>]</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الأطراف ذات العلاقة</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lastRenderedPageBreak/>
              <w:t>القرار أو العمل المتأثر</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تاريخ بداية الحالة ومدتها</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 xml:space="preserve">الإجراءات </w:t>
            </w:r>
            <w:r>
              <w:rPr>
                <w:rFonts w:cs="Times New Roman"/>
                <w:sz w:val="17"/>
                <w:rtl/>
              </w:rPr>
              <w:t>المقترحة لتجنب التأثير</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قرار الجهة المختصة</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w:t>
            </w:r>
            <w:r>
              <w:rPr>
                <w:rFonts w:cs="Times New Roman"/>
                <w:sz w:val="17"/>
                <w:rtl/>
              </w:rPr>
              <w:t>تنحٍ</w:t>
            </w:r>
            <w:r>
              <w:rPr>
                <w:sz w:val="17"/>
                <w:rtl/>
              </w:rPr>
              <w:t>/</w:t>
            </w:r>
            <w:r>
              <w:rPr>
                <w:rFonts w:cs="Times New Roman"/>
                <w:sz w:val="17"/>
                <w:rtl/>
              </w:rPr>
              <w:t>فصل صلاحيات</w:t>
            </w:r>
            <w:r>
              <w:rPr>
                <w:sz w:val="17"/>
                <w:rtl/>
              </w:rPr>
              <w:t>/</w:t>
            </w:r>
            <w:r>
              <w:rPr>
                <w:rFonts w:cs="Times New Roman"/>
                <w:sz w:val="17"/>
                <w:rtl/>
              </w:rPr>
              <w:t>موافقة مشروطة</w:t>
            </w:r>
            <w:r>
              <w:rPr>
                <w:sz w:val="17"/>
                <w:rtl/>
              </w:rPr>
              <w:t>/</w:t>
            </w:r>
            <w:r>
              <w:rPr>
                <w:rFonts w:cs="Times New Roman"/>
                <w:sz w:val="17"/>
                <w:rtl/>
              </w:rPr>
              <w:t>رفض</w:t>
            </w:r>
            <w:r>
              <w:rPr>
                <w:sz w:val="17"/>
                <w:rtl/>
              </w:rPr>
              <w:t>/</w:t>
            </w:r>
            <w:r>
              <w:rPr>
                <w:rFonts w:cs="Times New Roman"/>
                <w:sz w:val="17"/>
                <w:rtl/>
              </w:rPr>
              <w:t>أخرى</w:t>
            </w:r>
            <w:r>
              <w:rPr>
                <w:sz w:val="17"/>
                <w:rtl/>
              </w:rPr>
              <w:t>]</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المراجعة والتوقيعات</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bl>
    <w:p w:rsidR="00594DDA" w:rsidRDefault="00594DDA" w:rsidP="00E677CE">
      <w:pPr>
        <w:spacing w:after="0"/>
        <w:jc w:val="left"/>
        <w:rPr>
          <w:rFonts w:hint="eastAsia"/>
        </w:rPr>
      </w:pPr>
    </w:p>
    <w:p w:rsidR="00594DDA" w:rsidRDefault="00BA10EA" w:rsidP="00E677CE">
      <w:pPr>
        <w:pStyle w:val="1"/>
        <w:jc w:val="left"/>
      </w:pPr>
      <w:r>
        <w:rPr>
          <w:rFonts w:ascii="DejaVu Sans" w:hAnsi="DejaVu Sans" w:cs="Times New Roman"/>
          <w:rtl/>
        </w:rPr>
        <w:t xml:space="preserve">ملحق </w:t>
      </w:r>
      <w:r>
        <w:rPr>
          <w:rFonts w:ascii="DejaVu Sans" w:hAnsi="DejaVu Sans" w:cs="DejaVu Sans"/>
          <w:rtl/>
        </w:rPr>
        <w:t>(</w:t>
      </w:r>
      <w:r>
        <w:rPr>
          <w:rFonts w:ascii="DejaVu Sans" w:hAnsi="DejaVu Sans" w:cs="Times New Roman"/>
          <w:rtl/>
        </w:rPr>
        <w:t>ب</w:t>
      </w:r>
      <w:r>
        <w:rPr>
          <w:rFonts w:ascii="DejaVu Sans" w:hAnsi="DejaVu Sans" w:cs="DejaVu Sans"/>
          <w:rtl/>
        </w:rPr>
        <w:t xml:space="preserve">): </w:t>
      </w:r>
      <w:r>
        <w:rPr>
          <w:rFonts w:ascii="DejaVu Sans" w:hAnsi="DejaVu Sans" w:cs="Times New Roman"/>
          <w:rtl/>
        </w:rPr>
        <w:t>سجل الهدايا والضيافة</w:t>
      </w:r>
    </w:p>
    <w:tbl>
      <w:tblPr>
        <w:tblStyle w:val="afa"/>
        <w:tblW w:w="9360" w:type="dxa"/>
        <w:jc w:val="center"/>
        <w:tblLayout w:type="fixed"/>
        <w:tblLook w:val="04A0" w:firstRow="1" w:lastRow="0" w:firstColumn="1" w:lastColumn="0" w:noHBand="0" w:noVBand="1"/>
      </w:tblPr>
      <w:tblGrid>
        <w:gridCol w:w="1200"/>
        <w:gridCol w:w="2100"/>
        <w:gridCol w:w="2300"/>
        <w:gridCol w:w="2100"/>
        <w:gridCol w:w="1660"/>
      </w:tblGrid>
      <w:tr w:rsidR="00594DDA">
        <w:trPr>
          <w:cantSplit/>
          <w:tblHeader/>
          <w:jc w:val="center"/>
        </w:trPr>
        <w:tc>
          <w:tcPr>
            <w:tcW w:w="120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التاريخ</w:t>
            </w:r>
          </w:p>
        </w:tc>
        <w:tc>
          <w:tcPr>
            <w:tcW w:w="210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المقدم</w:t>
            </w:r>
            <w:r>
              <w:rPr>
                <w:b/>
                <w:color w:val="FFFFFF"/>
                <w:sz w:val="17"/>
                <w:rtl/>
              </w:rPr>
              <w:t>/</w:t>
            </w:r>
            <w:r>
              <w:rPr>
                <w:rFonts w:cs="Times New Roman"/>
                <w:b/>
                <w:color w:val="FFFFFF"/>
                <w:sz w:val="17"/>
                <w:rtl/>
              </w:rPr>
              <w:t>المستلم</w:t>
            </w:r>
          </w:p>
        </w:tc>
        <w:tc>
          <w:tcPr>
            <w:tcW w:w="230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الوصف والقيمة</w:t>
            </w:r>
          </w:p>
        </w:tc>
        <w:tc>
          <w:tcPr>
            <w:tcW w:w="210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سبب المناسبة</w:t>
            </w:r>
          </w:p>
        </w:tc>
        <w:tc>
          <w:tcPr>
            <w:tcW w:w="166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القرار</w:t>
            </w:r>
          </w:p>
        </w:tc>
      </w:tr>
      <w:tr w:rsidR="00594DDA">
        <w:trPr>
          <w:cantSplit/>
          <w:jc w:val="center"/>
        </w:trPr>
        <w:tc>
          <w:tcPr>
            <w:tcW w:w="12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c>
          <w:tcPr>
            <w:tcW w:w="21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c>
          <w:tcPr>
            <w:tcW w:w="2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c>
          <w:tcPr>
            <w:tcW w:w="21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c>
          <w:tcPr>
            <w:tcW w:w="16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w:t>
            </w:r>
            <w:r>
              <w:rPr>
                <w:rFonts w:cs="Times New Roman"/>
                <w:sz w:val="17"/>
                <w:rtl/>
              </w:rPr>
              <w:t>قبول</w:t>
            </w:r>
            <w:r>
              <w:rPr>
                <w:sz w:val="17"/>
                <w:rtl/>
              </w:rPr>
              <w:t>/</w:t>
            </w:r>
            <w:r>
              <w:rPr>
                <w:rFonts w:cs="Times New Roman"/>
                <w:sz w:val="17"/>
                <w:rtl/>
              </w:rPr>
              <w:t>رفض</w:t>
            </w:r>
            <w:r>
              <w:rPr>
                <w:sz w:val="17"/>
                <w:rtl/>
              </w:rPr>
              <w:t>/</w:t>
            </w:r>
            <w:r>
              <w:rPr>
                <w:rFonts w:cs="Times New Roman"/>
                <w:sz w:val="17"/>
                <w:rtl/>
              </w:rPr>
              <w:t>تسليم</w:t>
            </w:r>
            <w:r>
              <w:rPr>
                <w:sz w:val="17"/>
                <w:rtl/>
              </w:rPr>
              <w:t>/</w:t>
            </w:r>
            <w:r>
              <w:rPr>
                <w:rFonts w:cs="Times New Roman"/>
                <w:sz w:val="17"/>
                <w:rtl/>
              </w:rPr>
              <w:t>إعادة</w:t>
            </w:r>
            <w:r>
              <w:rPr>
                <w:sz w:val="17"/>
                <w:rtl/>
              </w:rPr>
              <w:t>]</w:t>
            </w:r>
          </w:p>
        </w:tc>
      </w:tr>
    </w:tbl>
    <w:p w:rsidR="00594DDA" w:rsidRDefault="00594DDA" w:rsidP="00E677CE">
      <w:pPr>
        <w:spacing w:after="0"/>
        <w:jc w:val="left"/>
        <w:rPr>
          <w:rFonts w:hint="eastAsia"/>
        </w:rPr>
      </w:pPr>
    </w:p>
    <w:p w:rsidR="00594DDA" w:rsidRDefault="00BA10EA" w:rsidP="00E677CE">
      <w:pPr>
        <w:pStyle w:val="1"/>
        <w:jc w:val="left"/>
      </w:pPr>
      <w:r>
        <w:rPr>
          <w:rFonts w:ascii="DejaVu Sans" w:hAnsi="DejaVu Sans" w:cs="Times New Roman"/>
          <w:rtl/>
        </w:rPr>
        <w:t xml:space="preserve">ملحق </w:t>
      </w:r>
      <w:r>
        <w:rPr>
          <w:rFonts w:ascii="DejaVu Sans" w:hAnsi="DejaVu Sans" w:cs="DejaVu Sans"/>
          <w:rtl/>
        </w:rPr>
        <w:t>(</w:t>
      </w:r>
      <w:r>
        <w:rPr>
          <w:rFonts w:ascii="DejaVu Sans" w:hAnsi="DejaVu Sans" w:cs="Times New Roman"/>
          <w:rtl/>
        </w:rPr>
        <w:t>ج</w:t>
      </w:r>
      <w:r>
        <w:rPr>
          <w:rFonts w:ascii="DejaVu Sans" w:hAnsi="DejaVu Sans" w:cs="DejaVu Sans"/>
          <w:rtl/>
        </w:rPr>
        <w:t xml:space="preserve">): </w:t>
      </w:r>
      <w:r>
        <w:rPr>
          <w:rFonts w:ascii="DejaVu Sans" w:hAnsi="DejaVu Sans" w:cs="Times New Roman"/>
          <w:rtl/>
        </w:rPr>
        <w:t>نموذج بلاغ سلوكي أو أخلاقي</w:t>
      </w:r>
    </w:p>
    <w:tbl>
      <w:tblPr>
        <w:tblStyle w:val="afa"/>
        <w:tblW w:w="9360" w:type="dxa"/>
        <w:jc w:val="center"/>
        <w:tblLayout w:type="fixed"/>
        <w:tblLook w:val="04A0" w:firstRow="1" w:lastRow="0" w:firstColumn="1" w:lastColumn="0" w:noHBand="0" w:noVBand="1"/>
      </w:tblPr>
      <w:tblGrid>
        <w:gridCol w:w="3300"/>
        <w:gridCol w:w="6060"/>
      </w:tblGrid>
      <w:tr w:rsidR="00594DDA">
        <w:trPr>
          <w:cantSplit/>
          <w:tblHeader/>
          <w:jc w:val="center"/>
        </w:trPr>
        <w:tc>
          <w:tcPr>
            <w:tcW w:w="330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الحقل</w:t>
            </w:r>
          </w:p>
        </w:tc>
        <w:tc>
          <w:tcPr>
            <w:tcW w:w="606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البيانات</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 xml:space="preserve">بيانات المبلّغ </w:t>
            </w:r>
            <w:r>
              <w:rPr>
                <w:sz w:val="17"/>
                <w:rtl/>
              </w:rPr>
              <w:t xml:space="preserve">- </w:t>
            </w:r>
            <w:r>
              <w:rPr>
                <w:rFonts w:cs="Times New Roman"/>
                <w:sz w:val="17"/>
                <w:rtl/>
              </w:rPr>
              <w:t>اختياري حسب القناة</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نوع البلاغ</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w:t>
            </w:r>
            <w:r>
              <w:rPr>
                <w:rFonts w:cs="Times New Roman"/>
                <w:sz w:val="17"/>
                <w:rtl/>
              </w:rPr>
              <w:t>تعدٍ سلوكي</w:t>
            </w:r>
            <w:r>
              <w:rPr>
                <w:sz w:val="17"/>
                <w:rtl/>
              </w:rPr>
              <w:t>/</w:t>
            </w:r>
            <w:r>
              <w:rPr>
                <w:rFonts w:cs="Times New Roman"/>
                <w:sz w:val="17"/>
                <w:rtl/>
              </w:rPr>
              <w:t>تحرش</w:t>
            </w:r>
            <w:r>
              <w:rPr>
                <w:sz w:val="17"/>
                <w:rtl/>
              </w:rPr>
              <w:t>/</w:t>
            </w:r>
            <w:r>
              <w:rPr>
                <w:rFonts w:cs="Times New Roman"/>
                <w:sz w:val="17"/>
                <w:rtl/>
              </w:rPr>
              <w:t>تعارض</w:t>
            </w:r>
            <w:r>
              <w:rPr>
                <w:sz w:val="17"/>
                <w:rtl/>
              </w:rPr>
              <w:t>/</w:t>
            </w:r>
            <w:r>
              <w:rPr>
                <w:rFonts w:cs="Times New Roman"/>
                <w:sz w:val="17"/>
                <w:rtl/>
              </w:rPr>
              <w:t>رشوة</w:t>
            </w:r>
            <w:r>
              <w:rPr>
                <w:sz w:val="17"/>
                <w:rtl/>
              </w:rPr>
              <w:t>/</w:t>
            </w:r>
            <w:r>
              <w:rPr>
                <w:rFonts w:cs="Times New Roman"/>
                <w:sz w:val="17"/>
                <w:rtl/>
              </w:rPr>
              <w:t>احتيال</w:t>
            </w:r>
            <w:r>
              <w:rPr>
                <w:sz w:val="17"/>
                <w:rtl/>
              </w:rPr>
              <w:t>/</w:t>
            </w:r>
            <w:r>
              <w:rPr>
                <w:rFonts w:cs="Times New Roman"/>
                <w:sz w:val="17"/>
                <w:rtl/>
              </w:rPr>
              <w:t>سرية</w:t>
            </w:r>
            <w:r>
              <w:rPr>
                <w:sz w:val="17"/>
                <w:rtl/>
              </w:rPr>
              <w:t>/</w:t>
            </w:r>
            <w:r>
              <w:rPr>
                <w:rFonts w:cs="Times New Roman"/>
                <w:sz w:val="17"/>
                <w:rtl/>
              </w:rPr>
              <w:t>انتقام</w:t>
            </w:r>
            <w:r>
              <w:rPr>
                <w:sz w:val="17"/>
                <w:rtl/>
              </w:rPr>
              <w:t>/</w:t>
            </w:r>
            <w:r>
              <w:rPr>
                <w:rFonts w:cs="Times New Roman"/>
                <w:sz w:val="17"/>
                <w:rtl/>
              </w:rPr>
              <w:t>أخرى</w:t>
            </w:r>
            <w:r>
              <w:rPr>
                <w:sz w:val="17"/>
                <w:rtl/>
              </w:rPr>
              <w:t>]</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الأشخاص والجهات ذات العلاقة</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ماذا حدث؟ ومتى وأين؟</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الشهود أو المستندات أو الأنظمة</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 xml:space="preserve">هل يوجد خطر </w:t>
            </w:r>
            <w:r>
              <w:rPr>
                <w:rFonts w:cs="Times New Roman"/>
                <w:sz w:val="17"/>
                <w:rtl/>
              </w:rPr>
              <w:t>فوري أو احتمال فقد دليل؟</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هل أبلغت جهة أخرى؟</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r w:rsidR="00594DDA">
        <w:trPr>
          <w:cantSplit/>
          <w:jc w:val="center"/>
        </w:trPr>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وسيلة التواصل الآمنة</w:t>
            </w:r>
          </w:p>
        </w:tc>
        <w:tc>
          <w:tcPr>
            <w:tcW w:w="606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 ]</w:t>
            </w:r>
          </w:p>
        </w:tc>
      </w:tr>
    </w:tbl>
    <w:p w:rsidR="00594DDA" w:rsidRDefault="00594DDA" w:rsidP="00E677CE">
      <w:pPr>
        <w:spacing w:after="0"/>
        <w:jc w:val="left"/>
        <w:rPr>
          <w:rFonts w:hint="eastAsia"/>
        </w:rPr>
      </w:pPr>
    </w:p>
    <w:p w:rsidR="00594DDA" w:rsidRDefault="00BA10EA" w:rsidP="00E677CE">
      <w:pPr>
        <w:pStyle w:val="1"/>
        <w:jc w:val="left"/>
      </w:pPr>
      <w:r>
        <w:rPr>
          <w:rFonts w:ascii="DejaVu Sans" w:hAnsi="DejaVu Sans" w:cs="Times New Roman"/>
          <w:rtl/>
        </w:rPr>
        <w:t xml:space="preserve">ملحق </w:t>
      </w:r>
      <w:r>
        <w:rPr>
          <w:rFonts w:ascii="DejaVu Sans" w:hAnsi="DejaVu Sans" w:cs="DejaVu Sans"/>
          <w:rtl/>
        </w:rPr>
        <w:t>(</w:t>
      </w:r>
      <w:r>
        <w:rPr>
          <w:rFonts w:ascii="DejaVu Sans" w:hAnsi="DejaVu Sans" w:cs="Times New Roman"/>
          <w:rtl/>
        </w:rPr>
        <w:t>د</w:t>
      </w:r>
      <w:r>
        <w:rPr>
          <w:rFonts w:ascii="DejaVu Sans" w:hAnsi="DejaVu Sans" w:cs="DejaVu Sans"/>
          <w:rtl/>
        </w:rPr>
        <w:t xml:space="preserve">): </w:t>
      </w:r>
      <w:r>
        <w:rPr>
          <w:rFonts w:ascii="DejaVu Sans" w:hAnsi="DejaVu Sans" w:cs="Times New Roman"/>
          <w:rtl/>
        </w:rPr>
        <w:t>الإقرار السنوي</w:t>
      </w:r>
    </w:p>
    <w:p w:rsidR="00594DDA" w:rsidRDefault="00BA10EA" w:rsidP="00E677CE">
      <w:pPr>
        <w:numPr>
          <w:ilvl w:val="0"/>
          <w:numId w:val="2"/>
        </w:numPr>
        <w:jc w:val="left"/>
        <w:rPr>
          <w:rFonts w:hint="eastAsia"/>
        </w:rPr>
      </w:pPr>
      <w:r>
        <w:rPr>
          <w:rFonts w:cs="Times New Roman"/>
          <w:rtl/>
        </w:rPr>
        <w:t>قرأت السياسة وفهمت واجبي في طلب المشورة والإبلاغ والتعاون وحماية السرية</w:t>
      </w:r>
      <w:r>
        <w:rPr>
          <w:rtl/>
        </w:rPr>
        <w:t>.</w:t>
      </w:r>
    </w:p>
    <w:p w:rsidR="00594DDA" w:rsidRDefault="00BA10EA" w:rsidP="00E677CE">
      <w:pPr>
        <w:numPr>
          <w:ilvl w:val="0"/>
          <w:numId w:val="2"/>
        </w:numPr>
        <w:jc w:val="left"/>
        <w:rPr>
          <w:rFonts w:hint="eastAsia"/>
        </w:rPr>
      </w:pPr>
      <w:r>
        <w:rPr>
          <w:rFonts w:cs="Times New Roman"/>
          <w:rtl/>
        </w:rPr>
        <w:t xml:space="preserve">أفصحت عن جميع تعارضات المصالح والهدايا والعمل الخارجي ذات الصلة، أو لا يوجد </w:t>
      </w:r>
      <w:r>
        <w:rPr>
          <w:rFonts w:cs="Times New Roman"/>
          <w:rtl/>
        </w:rPr>
        <w:t>ما أفصح عنه حتى تاريخ الإقرار</w:t>
      </w:r>
      <w:r>
        <w:rPr>
          <w:rtl/>
        </w:rPr>
        <w:t>.</w:t>
      </w:r>
    </w:p>
    <w:p w:rsidR="00594DDA" w:rsidRDefault="00BA10EA" w:rsidP="00E677CE">
      <w:pPr>
        <w:numPr>
          <w:ilvl w:val="0"/>
          <w:numId w:val="2"/>
        </w:numPr>
        <w:jc w:val="left"/>
        <w:rPr>
          <w:rFonts w:hint="eastAsia"/>
        </w:rPr>
      </w:pPr>
      <w:r>
        <w:rPr>
          <w:rFonts w:cs="Times New Roman"/>
          <w:rtl/>
        </w:rPr>
        <w:t>لم أتعرض لانتقام بسبب بلاغ أو تعاون، أو أبلغت عنه عبر القناة المحددة</w:t>
      </w:r>
      <w:r>
        <w:rPr>
          <w:rtl/>
        </w:rPr>
        <w:t>.</w:t>
      </w:r>
    </w:p>
    <w:p w:rsidR="00594DDA" w:rsidRDefault="00BA10EA" w:rsidP="00E677CE">
      <w:pPr>
        <w:numPr>
          <w:ilvl w:val="0"/>
          <w:numId w:val="2"/>
        </w:numPr>
        <w:jc w:val="left"/>
        <w:rPr>
          <w:rFonts w:hint="eastAsia"/>
        </w:rPr>
      </w:pPr>
      <w:r>
        <w:rPr>
          <w:rFonts w:cs="Times New Roman"/>
          <w:rtl/>
        </w:rPr>
        <w:lastRenderedPageBreak/>
        <w:t>أتعهد بتحديث الإفصاح فور تغير الظروف، وأفهم أن الإقرار غير الصحيح عمدًا قد يعد مخالفة</w:t>
      </w:r>
      <w:r>
        <w:rPr>
          <w:rtl/>
        </w:rPr>
        <w:t>.</w:t>
      </w:r>
    </w:p>
    <w:tbl>
      <w:tblPr>
        <w:tblStyle w:val="afa"/>
        <w:tblW w:w="9360" w:type="dxa"/>
        <w:jc w:val="center"/>
        <w:tblLayout w:type="fixed"/>
        <w:tblLook w:val="04A0" w:firstRow="1" w:lastRow="0" w:firstColumn="1" w:lastColumn="0" w:noHBand="0" w:noVBand="1"/>
      </w:tblPr>
      <w:tblGrid>
        <w:gridCol w:w="2900"/>
        <w:gridCol w:w="2300"/>
        <w:gridCol w:w="2300"/>
        <w:gridCol w:w="1860"/>
      </w:tblGrid>
      <w:tr w:rsidR="00594DDA">
        <w:trPr>
          <w:cantSplit/>
          <w:tblHeader/>
          <w:jc w:val="center"/>
        </w:trPr>
        <w:tc>
          <w:tcPr>
            <w:tcW w:w="290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الاسم</w:t>
            </w:r>
          </w:p>
        </w:tc>
        <w:tc>
          <w:tcPr>
            <w:tcW w:w="230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الرقم الوظيفي</w:t>
            </w:r>
          </w:p>
        </w:tc>
        <w:tc>
          <w:tcPr>
            <w:tcW w:w="230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التوقيع</w:t>
            </w:r>
          </w:p>
        </w:tc>
        <w:tc>
          <w:tcPr>
            <w:tcW w:w="1860" w:type="dxa"/>
            <w:shd w:val="clear" w:color="auto" w:fill="17243A"/>
            <w:tcMar>
              <w:top w:w="100" w:type="dxa"/>
              <w:left w:w="130" w:type="dxa"/>
              <w:bottom w:w="100" w:type="dxa"/>
              <w:right w:w="130" w:type="dxa"/>
            </w:tcMar>
            <w:vAlign w:val="center"/>
          </w:tcPr>
          <w:p w:rsidR="00594DDA" w:rsidRDefault="00BA10EA" w:rsidP="00E677CE">
            <w:pPr>
              <w:spacing w:after="0"/>
              <w:jc w:val="left"/>
              <w:rPr>
                <w:rFonts w:hint="eastAsia"/>
              </w:rPr>
            </w:pPr>
            <w:r>
              <w:rPr>
                <w:rFonts w:cs="Times New Roman"/>
                <w:b/>
                <w:color w:val="FFFFFF"/>
                <w:sz w:val="18"/>
                <w:rtl/>
              </w:rPr>
              <w:t>التاريخ</w:t>
            </w:r>
          </w:p>
        </w:tc>
      </w:tr>
      <w:tr w:rsidR="00594DDA">
        <w:trPr>
          <w:cantSplit/>
          <w:jc w:val="center"/>
        </w:trPr>
        <w:tc>
          <w:tcPr>
            <w:tcW w:w="29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sz w:val="18"/>
                <w:rtl/>
              </w:rPr>
              <w:t>[ ]</w:t>
            </w:r>
          </w:p>
        </w:tc>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sz w:val="18"/>
                <w:rtl/>
              </w:rPr>
              <w:t>[ ]</w:t>
            </w:r>
          </w:p>
        </w:tc>
        <w:tc>
          <w:tcPr>
            <w:tcW w:w="230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sz w:val="18"/>
                <w:rtl/>
              </w:rPr>
              <w:t>[ ]</w:t>
            </w:r>
          </w:p>
        </w:tc>
        <w:tc>
          <w:tcPr>
            <w:tcW w:w="1860" w:type="dxa"/>
            <w:tcMar>
              <w:top w:w="100" w:type="dxa"/>
              <w:left w:w="130" w:type="dxa"/>
              <w:bottom w:w="100" w:type="dxa"/>
              <w:right w:w="130" w:type="dxa"/>
            </w:tcMar>
            <w:vAlign w:val="center"/>
          </w:tcPr>
          <w:p w:rsidR="00594DDA" w:rsidRDefault="00BA10EA" w:rsidP="00E677CE">
            <w:pPr>
              <w:spacing w:after="0" w:line="276" w:lineRule="auto"/>
              <w:jc w:val="left"/>
              <w:rPr>
                <w:rFonts w:hint="eastAsia"/>
              </w:rPr>
            </w:pPr>
            <w:r>
              <w:rPr>
                <w:sz w:val="18"/>
                <w:rtl/>
              </w:rPr>
              <w:t>[ ]</w:t>
            </w:r>
          </w:p>
        </w:tc>
      </w:tr>
    </w:tbl>
    <w:p w:rsidR="00594DDA" w:rsidRDefault="00594DDA" w:rsidP="00E677CE">
      <w:pPr>
        <w:spacing w:after="0"/>
        <w:jc w:val="left"/>
        <w:rPr>
          <w:rFonts w:hint="eastAsia"/>
        </w:rPr>
      </w:pPr>
    </w:p>
    <w:p w:rsidR="00594DDA" w:rsidRDefault="00BA10EA" w:rsidP="00E677CE">
      <w:pPr>
        <w:jc w:val="left"/>
        <w:rPr>
          <w:rFonts w:hint="eastAsia"/>
        </w:rPr>
      </w:pPr>
      <w:r>
        <w:br w:type="page"/>
      </w:r>
    </w:p>
    <w:p w:rsidR="00594DDA" w:rsidRDefault="00BA10EA" w:rsidP="00E677CE">
      <w:pPr>
        <w:pStyle w:val="1"/>
        <w:jc w:val="left"/>
      </w:pPr>
      <w:r>
        <w:rPr>
          <w:rFonts w:ascii="DejaVu Sans" w:hAnsi="DejaVu Sans" w:cs="Times New Roman"/>
          <w:rtl/>
        </w:rPr>
        <w:lastRenderedPageBreak/>
        <w:t xml:space="preserve">ملحق </w:t>
      </w:r>
      <w:r>
        <w:rPr>
          <w:rFonts w:ascii="DejaVu Sans" w:hAnsi="DejaVu Sans" w:cs="DejaVu Sans"/>
          <w:rtl/>
        </w:rPr>
        <w:t>(</w:t>
      </w:r>
      <w:r>
        <w:rPr>
          <w:rFonts w:ascii="DejaVu Sans" w:hAnsi="DejaVu Sans" w:cs="Times New Roman"/>
          <w:rtl/>
        </w:rPr>
        <w:t>هـ</w:t>
      </w:r>
      <w:r>
        <w:rPr>
          <w:rFonts w:ascii="DejaVu Sans" w:hAnsi="DejaVu Sans" w:cs="DejaVu Sans"/>
          <w:rtl/>
        </w:rPr>
        <w:t xml:space="preserve">): </w:t>
      </w:r>
      <w:r>
        <w:rPr>
          <w:rFonts w:ascii="DejaVu Sans" w:hAnsi="DejaVu Sans" w:cs="Times New Roman"/>
          <w:rtl/>
        </w:rPr>
        <w:t>قائمة تحقق جاهزية التطبيق</w:t>
      </w:r>
    </w:p>
    <w:p w:rsidR="00594DDA" w:rsidRDefault="00BA10EA" w:rsidP="00E677CE">
      <w:pPr>
        <w:numPr>
          <w:ilvl w:val="0"/>
          <w:numId w:val="2"/>
        </w:numPr>
        <w:jc w:val="left"/>
        <w:rPr>
          <w:rFonts w:hint="eastAsia"/>
        </w:rPr>
      </w:pPr>
      <w:r>
        <w:rPr>
          <w:rFonts w:cs="Times New Roman"/>
          <w:rtl/>
        </w:rPr>
        <w:t>اعتماد القيم والقنوات والجهات المالكة والمحققين البدلاء عند تعارض المصالح</w:t>
      </w:r>
      <w:r>
        <w:rPr>
          <w:rtl/>
        </w:rPr>
        <w:t>.</w:t>
      </w:r>
    </w:p>
    <w:p w:rsidR="00594DDA" w:rsidRDefault="00BA10EA" w:rsidP="00E677CE">
      <w:pPr>
        <w:numPr>
          <w:ilvl w:val="0"/>
          <w:numId w:val="2"/>
        </w:numPr>
        <w:jc w:val="left"/>
        <w:rPr>
          <w:rFonts w:hint="eastAsia"/>
        </w:rPr>
      </w:pPr>
      <w:r>
        <w:rPr>
          <w:rFonts w:cs="Times New Roman"/>
          <w:rtl/>
        </w:rPr>
        <w:t>تحديد حد الهدايا وآلية التسجيل والموافقة والسفر والضيافة</w:t>
      </w:r>
      <w:r>
        <w:rPr>
          <w:rtl/>
        </w:rPr>
        <w:t>.</w:t>
      </w:r>
    </w:p>
    <w:p w:rsidR="00594DDA" w:rsidRDefault="00BA10EA" w:rsidP="00E677CE">
      <w:pPr>
        <w:numPr>
          <w:ilvl w:val="0"/>
          <w:numId w:val="2"/>
        </w:numPr>
        <w:jc w:val="left"/>
        <w:rPr>
          <w:rFonts w:hint="eastAsia"/>
        </w:rPr>
      </w:pPr>
      <w:r>
        <w:rPr>
          <w:rFonts w:cs="Times New Roman"/>
          <w:rtl/>
        </w:rPr>
        <w:t>ربط السياسة بلائحة تنظيم العمل وإجراءات التحقيق والجزاءات وحماية البيانات</w:t>
      </w:r>
      <w:r>
        <w:rPr>
          <w:rtl/>
        </w:rPr>
        <w:t>.</w:t>
      </w:r>
    </w:p>
    <w:p w:rsidR="00594DDA" w:rsidRDefault="00BA10EA" w:rsidP="00E677CE">
      <w:pPr>
        <w:numPr>
          <w:ilvl w:val="0"/>
          <w:numId w:val="2"/>
        </w:numPr>
        <w:jc w:val="left"/>
        <w:rPr>
          <w:rFonts w:hint="eastAsia"/>
        </w:rPr>
      </w:pPr>
      <w:r>
        <w:rPr>
          <w:rFonts w:cs="Times New Roman"/>
          <w:rtl/>
        </w:rPr>
        <w:t>توفير قناة مستقلة وآمن</w:t>
      </w:r>
      <w:r>
        <w:rPr>
          <w:rFonts w:cs="Times New Roman"/>
          <w:rtl/>
        </w:rPr>
        <w:t>ة وإمكانية الوصول لذوي الإعاقة واللغات اللازمة</w:t>
      </w:r>
      <w:r>
        <w:rPr>
          <w:rtl/>
        </w:rPr>
        <w:t>.</w:t>
      </w:r>
    </w:p>
    <w:p w:rsidR="00594DDA" w:rsidRDefault="00BA10EA" w:rsidP="00E677CE">
      <w:pPr>
        <w:numPr>
          <w:ilvl w:val="0"/>
          <w:numId w:val="2"/>
        </w:numPr>
        <w:jc w:val="left"/>
        <w:rPr>
          <w:rFonts w:hint="eastAsia"/>
        </w:rPr>
      </w:pPr>
      <w:r>
        <w:rPr>
          <w:rFonts w:cs="Times New Roman"/>
          <w:rtl/>
        </w:rPr>
        <w:t>اعتماد مدد الاستجابة والتحقيق والتصعيد وحفظ الأدلة والسجلات</w:t>
      </w:r>
      <w:r>
        <w:rPr>
          <w:rtl/>
        </w:rPr>
        <w:t>.</w:t>
      </w:r>
    </w:p>
    <w:p w:rsidR="00594DDA" w:rsidRDefault="00BA10EA" w:rsidP="00E677CE">
      <w:pPr>
        <w:numPr>
          <w:ilvl w:val="0"/>
          <w:numId w:val="2"/>
        </w:numPr>
        <w:jc w:val="left"/>
        <w:rPr>
          <w:rFonts w:hint="eastAsia"/>
        </w:rPr>
      </w:pPr>
      <w:r>
        <w:rPr>
          <w:rFonts w:cs="Times New Roman"/>
          <w:rtl/>
        </w:rPr>
        <w:t>تدريب المديرين على استقبال البلاغ دون وعد بسرية مطلقة أو إجراء تحقيق فردي</w:t>
      </w:r>
      <w:r>
        <w:rPr>
          <w:rtl/>
        </w:rPr>
        <w:t>.</w:t>
      </w:r>
    </w:p>
    <w:p w:rsidR="00594DDA" w:rsidRDefault="00BA10EA" w:rsidP="00E677CE">
      <w:pPr>
        <w:numPr>
          <w:ilvl w:val="0"/>
          <w:numId w:val="2"/>
        </w:numPr>
        <w:jc w:val="left"/>
        <w:rPr>
          <w:rFonts w:hint="eastAsia"/>
        </w:rPr>
      </w:pPr>
      <w:r>
        <w:rPr>
          <w:rFonts w:cs="Times New Roman"/>
          <w:rtl/>
        </w:rPr>
        <w:t>اختبار عدم الانتقام ومراجعة القرارات اللاحقة للمبلغين في الحالات عالية ا</w:t>
      </w:r>
      <w:r>
        <w:rPr>
          <w:rFonts w:cs="Times New Roman"/>
          <w:rtl/>
        </w:rPr>
        <w:t>لمخاطر</w:t>
      </w:r>
      <w:r>
        <w:rPr>
          <w:rtl/>
        </w:rPr>
        <w:t>.</w:t>
      </w:r>
    </w:p>
    <w:p w:rsidR="00594DDA" w:rsidRDefault="00BA10EA" w:rsidP="00E677CE">
      <w:pPr>
        <w:numPr>
          <w:ilvl w:val="0"/>
          <w:numId w:val="2"/>
        </w:numPr>
        <w:jc w:val="left"/>
        <w:rPr>
          <w:rFonts w:hint="eastAsia"/>
        </w:rPr>
      </w:pPr>
      <w:r>
        <w:rPr>
          <w:rFonts w:cs="Times New Roman"/>
          <w:rtl/>
        </w:rPr>
        <w:t>مراجعة عقود الموردين وإضافة التزامات النزاهة والسرية والتعاون والتدقيق</w:t>
      </w:r>
      <w:r>
        <w:rPr>
          <w:rtl/>
        </w:rPr>
        <w:t>.</w:t>
      </w:r>
    </w:p>
    <w:p w:rsidR="00594DDA" w:rsidRDefault="00BA10EA" w:rsidP="00E677CE">
      <w:pPr>
        <w:pStyle w:val="1"/>
        <w:jc w:val="left"/>
      </w:pPr>
      <w:r>
        <w:rPr>
          <w:rFonts w:ascii="DejaVu Sans" w:hAnsi="DejaVu Sans" w:cs="Times New Roman"/>
          <w:rtl/>
        </w:rPr>
        <w:t xml:space="preserve">ملحق </w:t>
      </w:r>
      <w:r>
        <w:rPr>
          <w:rFonts w:ascii="DejaVu Sans" w:hAnsi="DejaVu Sans" w:cs="DejaVu Sans"/>
          <w:rtl/>
        </w:rPr>
        <w:t>(</w:t>
      </w:r>
      <w:r>
        <w:rPr>
          <w:rFonts w:ascii="DejaVu Sans" w:hAnsi="DejaVu Sans" w:cs="Times New Roman"/>
          <w:rtl/>
        </w:rPr>
        <w:t>و</w:t>
      </w:r>
      <w:r>
        <w:rPr>
          <w:rFonts w:ascii="DejaVu Sans" w:hAnsi="DejaVu Sans" w:cs="DejaVu Sans"/>
          <w:rtl/>
        </w:rPr>
        <w:t xml:space="preserve">): </w:t>
      </w:r>
      <w:r>
        <w:rPr>
          <w:rFonts w:ascii="DejaVu Sans" w:hAnsi="DejaVu Sans" w:cs="Times New Roman"/>
          <w:rtl/>
        </w:rPr>
        <w:t>سجل الاعتماد والتعديلات</w:t>
      </w:r>
    </w:p>
    <w:tbl>
      <w:tblPr>
        <w:tblStyle w:val="afa"/>
        <w:tblW w:w="9360" w:type="dxa"/>
        <w:jc w:val="center"/>
        <w:tblLayout w:type="fixed"/>
        <w:tblLook w:val="04A0" w:firstRow="1" w:lastRow="0" w:firstColumn="1" w:lastColumn="0" w:noHBand="0" w:noVBand="1"/>
      </w:tblPr>
      <w:tblGrid>
        <w:gridCol w:w="1000"/>
        <w:gridCol w:w="1500"/>
        <w:gridCol w:w="3300"/>
        <w:gridCol w:w="1780"/>
        <w:gridCol w:w="1780"/>
      </w:tblGrid>
      <w:tr w:rsidR="00594DDA">
        <w:trPr>
          <w:cantSplit/>
          <w:tblHeader/>
          <w:jc w:val="center"/>
        </w:trPr>
        <w:tc>
          <w:tcPr>
            <w:tcW w:w="100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الإصدار</w:t>
            </w:r>
          </w:p>
        </w:tc>
        <w:tc>
          <w:tcPr>
            <w:tcW w:w="150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التاريخ</w:t>
            </w:r>
          </w:p>
        </w:tc>
        <w:tc>
          <w:tcPr>
            <w:tcW w:w="330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وصف التعديل</w:t>
            </w:r>
          </w:p>
        </w:tc>
        <w:tc>
          <w:tcPr>
            <w:tcW w:w="178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أعدها</w:t>
            </w:r>
          </w:p>
        </w:tc>
        <w:tc>
          <w:tcPr>
            <w:tcW w:w="1780" w:type="dxa"/>
            <w:shd w:val="clear" w:color="auto" w:fill="17243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b/>
                <w:color w:val="FFFFFF"/>
                <w:sz w:val="17"/>
                <w:rtl/>
              </w:rPr>
              <w:t>اعتمدها</w:t>
            </w:r>
          </w:p>
        </w:tc>
      </w:tr>
      <w:tr w:rsidR="00594DDA">
        <w:trPr>
          <w:cantSplit/>
          <w:jc w:val="center"/>
        </w:trPr>
        <w:tc>
          <w:tcPr>
            <w:tcW w:w="10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1.0</w:t>
            </w:r>
          </w:p>
        </w:tc>
        <w:tc>
          <w:tcPr>
            <w:tcW w:w="15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w:t>
            </w:r>
            <w:r>
              <w:rPr>
                <w:rFonts w:cs="Times New Roman"/>
                <w:sz w:val="17"/>
                <w:rtl/>
              </w:rPr>
              <w:t>التاريخ</w:t>
            </w:r>
            <w:r>
              <w:rPr>
                <w:sz w:val="17"/>
                <w:rtl/>
              </w:rPr>
              <w:t>]</w:t>
            </w:r>
          </w:p>
        </w:tc>
        <w:tc>
          <w:tcPr>
            <w:tcW w:w="330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rFonts w:cs="Times New Roman"/>
                <w:sz w:val="17"/>
                <w:rtl/>
              </w:rPr>
              <w:t>إصدار أول</w:t>
            </w:r>
          </w:p>
        </w:tc>
        <w:tc>
          <w:tcPr>
            <w:tcW w:w="178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w:t>
            </w:r>
            <w:r>
              <w:rPr>
                <w:rFonts w:cs="Times New Roman"/>
                <w:sz w:val="17"/>
                <w:rtl/>
              </w:rPr>
              <w:t>الاسم</w:t>
            </w:r>
            <w:r>
              <w:rPr>
                <w:sz w:val="17"/>
                <w:rtl/>
              </w:rPr>
              <w:t>/</w:t>
            </w:r>
            <w:r>
              <w:rPr>
                <w:rFonts w:cs="Times New Roman"/>
                <w:sz w:val="17"/>
                <w:rtl/>
              </w:rPr>
              <w:t>المسمى</w:t>
            </w:r>
            <w:r>
              <w:rPr>
                <w:sz w:val="17"/>
                <w:rtl/>
              </w:rPr>
              <w:t>]</w:t>
            </w:r>
          </w:p>
        </w:tc>
        <w:tc>
          <w:tcPr>
            <w:tcW w:w="1780" w:type="dxa"/>
            <w:tcMar>
              <w:top w:w="100" w:type="dxa"/>
              <w:left w:w="130" w:type="dxa"/>
              <w:bottom w:w="100" w:type="dxa"/>
              <w:right w:w="130" w:type="dxa"/>
            </w:tcMar>
            <w:vAlign w:val="center"/>
          </w:tcPr>
          <w:p w:rsidR="00594DDA" w:rsidRDefault="00BA10EA" w:rsidP="00E677CE">
            <w:pPr>
              <w:spacing w:after="0" w:line="252" w:lineRule="auto"/>
              <w:jc w:val="left"/>
              <w:rPr>
                <w:rFonts w:hint="eastAsia"/>
              </w:rPr>
            </w:pPr>
            <w:r>
              <w:rPr>
                <w:sz w:val="17"/>
                <w:rtl/>
              </w:rPr>
              <w:t>[</w:t>
            </w:r>
            <w:r>
              <w:rPr>
                <w:rFonts w:cs="Times New Roman"/>
                <w:sz w:val="17"/>
                <w:rtl/>
              </w:rPr>
              <w:t>الاسم</w:t>
            </w:r>
            <w:r>
              <w:rPr>
                <w:sz w:val="17"/>
                <w:rtl/>
              </w:rPr>
              <w:t>/</w:t>
            </w:r>
            <w:r>
              <w:rPr>
                <w:rFonts w:cs="Times New Roman"/>
                <w:sz w:val="17"/>
                <w:rtl/>
              </w:rPr>
              <w:t>المسمى</w:t>
            </w:r>
            <w:r>
              <w:rPr>
                <w:sz w:val="17"/>
                <w:rtl/>
              </w:rPr>
              <w:t>]</w:t>
            </w:r>
          </w:p>
        </w:tc>
      </w:tr>
      <w:tr w:rsidR="00594DDA">
        <w:trPr>
          <w:cantSplit/>
          <w:jc w:val="center"/>
        </w:trPr>
        <w:tc>
          <w:tcPr>
            <w:tcW w:w="1000" w:type="dxa"/>
            <w:tcMar>
              <w:top w:w="100" w:type="dxa"/>
              <w:left w:w="130" w:type="dxa"/>
              <w:bottom w:w="100" w:type="dxa"/>
              <w:right w:w="130" w:type="dxa"/>
            </w:tcMar>
            <w:vAlign w:val="center"/>
          </w:tcPr>
          <w:p w:rsidR="00594DDA" w:rsidRDefault="00594DDA" w:rsidP="00E677CE">
            <w:pPr>
              <w:spacing w:after="0" w:line="252" w:lineRule="auto"/>
              <w:jc w:val="left"/>
              <w:rPr>
                <w:rFonts w:hint="eastAsia"/>
              </w:rPr>
            </w:pPr>
          </w:p>
        </w:tc>
        <w:tc>
          <w:tcPr>
            <w:tcW w:w="1500" w:type="dxa"/>
            <w:tcMar>
              <w:top w:w="100" w:type="dxa"/>
              <w:left w:w="130" w:type="dxa"/>
              <w:bottom w:w="100" w:type="dxa"/>
              <w:right w:w="130" w:type="dxa"/>
            </w:tcMar>
            <w:vAlign w:val="center"/>
          </w:tcPr>
          <w:p w:rsidR="00594DDA" w:rsidRDefault="00594DDA" w:rsidP="00E677CE">
            <w:pPr>
              <w:spacing w:after="0" w:line="252" w:lineRule="auto"/>
              <w:jc w:val="left"/>
              <w:rPr>
                <w:rFonts w:hint="eastAsia"/>
              </w:rPr>
            </w:pPr>
          </w:p>
        </w:tc>
        <w:tc>
          <w:tcPr>
            <w:tcW w:w="3300" w:type="dxa"/>
            <w:tcMar>
              <w:top w:w="100" w:type="dxa"/>
              <w:left w:w="130" w:type="dxa"/>
              <w:bottom w:w="100" w:type="dxa"/>
              <w:right w:w="130" w:type="dxa"/>
            </w:tcMar>
            <w:vAlign w:val="center"/>
          </w:tcPr>
          <w:p w:rsidR="00594DDA" w:rsidRDefault="00594DDA" w:rsidP="00E677CE">
            <w:pPr>
              <w:spacing w:after="0" w:line="252" w:lineRule="auto"/>
              <w:jc w:val="left"/>
              <w:rPr>
                <w:rFonts w:hint="eastAsia"/>
              </w:rPr>
            </w:pPr>
          </w:p>
        </w:tc>
        <w:tc>
          <w:tcPr>
            <w:tcW w:w="1780" w:type="dxa"/>
            <w:tcMar>
              <w:top w:w="100" w:type="dxa"/>
              <w:left w:w="130" w:type="dxa"/>
              <w:bottom w:w="100" w:type="dxa"/>
              <w:right w:w="130" w:type="dxa"/>
            </w:tcMar>
            <w:vAlign w:val="center"/>
          </w:tcPr>
          <w:p w:rsidR="00594DDA" w:rsidRDefault="00594DDA" w:rsidP="00E677CE">
            <w:pPr>
              <w:spacing w:after="0" w:line="252" w:lineRule="auto"/>
              <w:jc w:val="left"/>
              <w:rPr>
                <w:rFonts w:hint="eastAsia"/>
              </w:rPr>
            </w:pPr>
          </w:p>
        </w:tc>
        <w:tc>
          <w:tcPr>
            <w:tcW w:w="1780" w:type="dxa"/>
            <w:tcMar>
              <w:top w:w="100" w:type="dxa"/>
              <w:left w:w="130" w:type="dxa"/>
              <w:bottom w:w="100" w:type="dxa"/>
              <w:right w:w="130" w:type="dxa"/>
            </w:tcMar>
            <w:vAlign w:val="center"/>
          </w:tcPr>
          <w:p w:rsidR="00594DDA" w:rsidRDefault="00594DDA" w:rsidP="00E677CE">
            <w:pPr>
              <w:spacing w:after="0" w:line="252" w:lineRule="auto"/>
              <w:jc w:val="left"/>
              <w:rPr>
                <w:rFonts w:hint="eastAsia"/>
              </w:rPr>
            </w:pPr>
          </w:p>
        </w:tc>
      </w:tr>
    </w:tbl>
    <w:p w:rsidR="00594DDA" w:rsidRDefault="00594DDA" w:rsidP="00E677CE">
      <w:pPr>
        <w:spacing w:after="0"/>
        <w:jc w:val="left"/>
        <w:rPr>
          <w:rFonts w:hint="eastAsia"/>
        </w:rPr>
      </w:pPr>
    </w:p>
    <w:p w:rsidR="00594DDA" w:rsidRDefault="00BA10EA" w:rsidP="00E677CE">
      <w:pPr>
        <w:pStyle w:val="1"/>
        <w:jc w:val="left"/>
      </w:pPr>
      <w:r>
        <w:rPr>
          <w:rFonts w:ascii="DejaVu Sans" w:hAnsi="DejaVu Sans" w:cs="Times New Roman"/>
          <w:rtl/>
        </w:rPr>
        <w:t>المراجع النظامية</w:t>
      </w:r>
    </w:p>
    <w:p w:rsidR="00594DDA" w:rsidRDefault="00BA10EA" w:rsidP="00E677CE">
      <w:pPr>
        <w:spacing w:after="80"/>
        <w:jc w:val="left"/>
        <w:rPr>
          <w:rFonts w:hint="eastAsia"/>
        </w:rPr>
      </w:pPr>
      <w:hyperlink r:id="rId8">
        <w:r>
          <w:rPr>
            <w:rFonts w:cs="Times New Roman"/>
            <w:color w:val="1769AA"/>
            <w:sz w:val="19"/>
            <w:u w:val="single"/>
            <w:rtl/>
          </w:rPr>
          <w:t xml:space="preserve">نظام العمل السعودي </w:t>
        </w:r>
        <w:r>
          <w:rPr>
            <w:color w:val="1769AA"/>
            <w:sz w:val="19"/>
            <w:u w:val="single"/>
            <w:rtl/>
          </w:rPr>
          <w:t xml:space="preserve">- </w:t>
        </w:r>
        <w:r>
          <w:rPr>
            <w:rFonts w:cs="Times New Roman"/>
            <w:color w:val="1769AA"/>
            <w:sz w:val="19"/>
            <w:u w:val="single"/>
            <w:rtl/>
          </w:rPr>
          <w:t>وزارة الموارد البشرية والتنمية الاجتماعية</w:t>
        </w:r>
      </w:hyperlink>
    </w:p>
    <w:p w:rsidR="00594DDA" w:rsidRDefault="00BA10EA" w:rsidP="00E677CE">
      <w:pPr>
        <w:spacing w:after="80"/>
        <w:jc w:val="left"/>
        <w:rPr>
          <w:rFonts w:hint="eastAsia"/>
        </w:rPr>
      </w:pPr>
      <w:hyperlink r:id="rId9">
        <w:r>
          <w:rPr>
            <w:rFonts w:cs="Times New Roman"/>
            <w:color w:val="1769AA"/>
            <w:sz w:val="19"/>
            <w:u w:val="single"/>
            <w:rtl/>
          </w:rPr>
          <w:t>ضوابط الحماية من التعديات السلوكي</w:t>
        </w:r>
        <w:r>
          <w:rPr>
            <w:rFonts w:cs="Times New Roman"/>
            <w:color w:val="1769AA"/>
            <w:sz w:val="19"/>
            <w:u w:val="single"/>
            <w:rtl/>
          </w:rPr>
          <w:t xml:space="preserve">ة في بيئة العمل </w:t>
        </w:r>
        <w:r>
          <w:rPr>
            <w:color w:val="1769AA"/>
            <w:sz w:val="19"/>
            <w:u w:val="single"/>
            <w:rtl/>
          </w:rPr>
          <w:t xml:space="preserve">- </w:t>
        </w:r>
        <w:r>
          <w:rPr>
            <w:rFonts w:cs="Times New Roman"/>
            <w:color w:val="1769AA"/>
            <w:sz w:val="19"/>
            <w:u w:val="single"/>
            <w:rtl/>
          </w:rPr>
          <w:t>وزارة الموارد البشرية والتنمية الاجتماعية</w:t>
        </w:r>
      </w:hyperlink>
    </w:p>
    <w:p w:rsidR="00594DDA" w:rsidRDefault="00BA10EA" w:rsidP="00E677CE">
      <w:pPr>
        <w:spacing w:after="80"/>
        <w:jc w:val="left"/>
        <w:rPr>
          <w:rFonts w:hint="eastAsia"/>
        </w:rPr>
      </w:pPr>
      <w:hyperlink r:id="rId10">
        <w:r>
          <w:rPr>
            <w:rFonts w:cs="Times New Roman"/>
            <w:color w:val="1769AA"/>
            <w:sz w:val="19"/>
            <w:u w:val="single"/>
            <w:rtl/>
          </w:rPr>
          <w:t xml:space="preserve">نظام مكافحة جريمة التحرش </w:t>
        </w:r>
        <w:r>
          <w:rPr>
            <w:color w:val="1769AA"/>
            <w:sz w:val="19"/>
            <w:u w:val="single"/>
            <w:rtl/>
          </w:rPr>
          <w:t xml:space="preserve">- </w:t>
        </w:r>
        <w:r>
          <w:rPr>
            <w:rFonts w:cs="Times New Roman"/>
            <w:color w:val="1769AA"/>
            <w:sz w:val="19"/>
            <w:u w:val="single"/>
            <w:rtl/>
          </w:rPr>
          <w:t>هيئة الخبراء بمجلس الوزراء</w:t>
        </w:r>
      </w:hyperlink>
    </w:p>
    <w:p w:rsidR="00594DDA" w:rsidRDefault="00BA10EA" w:rsidP="00E677CE">
      <w:pPr>
        <w:spacing w:after="80"/>
        <w:jc w:val="left"/>
        <w:rPr>
          <w:rFonts w:hint="eastAsia"/>
        </w:rPr>
      </w:pPr>
      <w:hyperlink r:id="rId11">
        <w:r>
          <w:rPr>
            <w:rFonts w:cs="Times New Roman"/>
            <w:color w:val="1769AA"/>
            <w:sz w:val="19"/>
            <w:u w:val="single"/>
            <w:rtl/>
          </w:rPr>
          <w:t xml:space="preserve">نظام مكافحة الرشوة </w:t>
        </w:r>
        <w:r>
          <w:rPr>
            <w:color w:val="1769AA"/>
            <w:sz w:val="19"/>
            <w:u w:val="single"/>
            <w:rtl/>
          </w:rPr>
          <w:t xml:space="preserve">- </w:t>
        </w:r>
        <w:r>
          <w:rPr>
            <w:rFonts w:cs="Times New Roman"/>
            <w:color w:val="1769AA"/>
            <w:sz w:val="19"/>
            <w:u w:val="single"/>
            <w:rtl/>
          </w:rPr>
          <w:t>هيئة الخبراء بمجلس الوزراء</w:t>
        </w:r>
      </w:hyperlink>
    </w:p>
    <w:p w:rsidR="00594DDA" w:rsidRDefault="00BA10EA" w:rsidP="00E677CE">
      <w:pPr>
        <w:spacing w:after="80"/>
        <w:jc w:val="left"/>
        <w:rPr>
          <w:rFonts w:hint="eastAsia"/>
        </w:rPr>
      </w:pPr>
      <w:hyperlink r:id="rId12">
        <w:r>
          <w:rPr>
            <w:rFonts w:cs="Times New Roman"/>
            <w:color w:val="1769AA"/>
            <w:sz w:val="19"/>
            <w:u w:val="single"/>
            <w:rtl/>
          </w:rPr>
          <w:t xml:space="preserve">نظام حماية المبلغين والشهود والخبراء والضحايا </w:t>
        </w:r>
        <w:r>
          <w:rPr>
            <w:color w:val="1769AA"/>
            <w:sz w:val="19"/>
            <w:u w:val="single"/>
            <w:rtl/>
          </w:rPr>
          <w:t xml:space="preserve">- </w:t>
        </w:r>
        <w:r>
          <w:rPr>
            <w:rFonts w:cs="Times New Roman"/>
            <w:color w:val="1769AA"/>
            <w:sz w:val="19"/>
            <w:u w:val="single"/>
            <w:rtl/>
          </w:rPr>
          <w:t>هيئة الخبراء بمجلس الوزراء</w:t>
        </w:r>
      </w:hyperlink>
    </w:p>
    <w:p w:rsidR="00594DDA" w:rsidRDefault="00BA10EA" w:rsidP="00E677CE">
      <w:pPr>
        <w:spacing w:after="80"/>
        <w:jc w:val="left"/>
        <w:rPr>
          <w:rFonts w:hint="eastAsia"/>
        </w:rPr>
      </w:pPr>
      <w:hyperlink r:id="rId13">
        <w:r>
          <w:rPr>
            <w:rFonts w:cs="Times New Roman"/>
            <w:color w:val="1769AA"/>
            <w:sz w:val="19"/>
            <w:u w:val="single"/>
            <w:rtl/>
          </w:rPr>
          <w:t xml:space="preserve">منصة حوكمة البيانات الوطنية ونظام حماية البيانات الشخصية </w:t>
        </w:r>
        <w:r>
          <w:rPr>
            <w:color w:val="1769AA"/>
            <w:sz w:val="19"/>
            <w:u w:val="single"/>
            <w:rtl/>
          </w:rPr>
          <w:t xml:space="preserve">- </w:t>
        </w:r>
        <w:r>
          <w:rPr>
            <w:rFonts w:cs="Times New Roman"/>
            <w:color w:val="1769AA"/>
            <w:sz w:val="19"/>
            <w:u w:val="single"/>
            <w:rtl/>
          </w:rPr>
          <w:t>سدايا</w:t>
        </w:r>
      </w:hyperlink>
    </w:p>
    <w:p w:rsidR="00594DDA" w:rsidRDefault="00BA10EA" w:rsidP="00E677CE">
      <w:pPr>
        <w:spacing w:before="100"/>
        <w:jc w:val="left"/>
        <w:rPr>
          <w:rFonts w:hint="eastAsia"/>
        </w:rPr>
      </w:pPr>
      <w:r>
        <w:rPr>
          <w:rFonts w:cs="Times New Roman"/>
          <w:color w:val="667085"/>
          <w:sz w:val="18"/>
          <w:rtl/>
        </w:rPr>
        <w:t>آخر تحقق للمراجع</w:t>
      </w:r>
      <w:r>
        <w:rPr>
          <w:color w:val="667085"/>
          <w:sz w:val="18"/>
          <w:rtl/>
        </w:rPr>
        <w:t xml:space="preserve">: 9 </w:t>
      </w:r>
      <w:r>
        <w:rPr>
          <w:rFonts w:cs="Times New Roman"/>
          <w:color w:val="667085"/>
          <w:sz w:val="18"/>
          <w:rtl/>
        </w:rPr>
        <w:t xml:space="preserve">أغسطس </w:t>
      </w:r>
      <w:r>
        <w:rPr>
          <w:color w:val="667085"/>
          <w:sz w:val="18"/>
          <w:rtl/>
        </w:rPr>
        <w:t>2026.</w:t>
      </w:r>
    </w:p>
    <w:sectPr w:rsidR="00594DDA" w:rsidSect="00034616">
      <w:headerReference w:type="default" r:id="rId14"/>
      <w:footerReference w:type="default" r:id="rId15"/>
      <w:pgSz w:w="12240" w:h="15840"/>
      <w:pgMar w:top="1080" w:right="1224" w:bottom="1080" w:left="1224" w:header="504" w:footer="504" w:gutter="0"/>
      <w:cols w:space="720"/>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0EA" w:rsidRDefault="00BA10EA">
      <w:pPr>
        <w:spacing w:after="0" w:line="240" w:lineRule="auto"/>
        <w:rPr>
          <w:rFonts w:hint="eastAsia"/>
        </w:rPr>
      </w:pPr>
      <w:r>
        <w:separator/>
      </w:r>
    </w:p>
  </w:endnote>
  <w:endnote w:type="continuationSeparator" w:id="0">
    <w:p w:rsidR="00BA10EA" w:rsidRDefault="00BA10E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DejaVu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DDA" w:rsidRDefault="00BA10EA">
    <w:pPr>
      <w:pStyle w:val="a5"/>
      <w:jc w:val="center"/>
      <w:rPr>
        <w:rFonts w:hint="eastAsia"/>
      </w:rPr>
    </w:pPr>
    <w:r>
      <w:rPr>
        <w:rFonts w:cs="Times New Roman"/>
        <w:color w:val="667085"/>
        <w:sz w:val="17"/>
        <w:rtl/>
      </w:rPr>
      <w:t xml:space="preserve">صفحة </w:t>
    </w:r>
    <w:r>
      <w:rPr>
        <w:color w:val="667085"/>
        <w:sz w:val="17"/>
        <w:rtl/>
      </w:rPr>
      <w:fldChar w:fldCharType="begin"/>
    </w:r>
    <w:r>
      <w:rPr>
        <w:color w:val="667085"/>
        <w:sz w:val="17"/>
        <w:rtl/>
      </w:rPr>
      <w:instrText xml:space="preserve"> PAGE </w:instrText>
    </w:r>
    <w:r w:rsidR="00E677CE">
      <w:rPr>
        <w:rFonts w:hint="eastAsia"/>
        <w:color w:val="667085"/>
        <w:sz w:val="17"/>
        <w:rtl/>
      </w:rPr>
      <w:fldChar w:fldCharType="separate"/>
    </w:r>
    <w:r w:rsidR="00E677CE">
      <w:rPr>
        <w:rFonts w:hint="eastAsia"/>
        <w:noProof/>
        <w:color w:val="667085"/>
        <w:sz w:val="17"/>
        <w:rtl/>
      </w:rPr>
      <w:t>12</w:t>
    </w:r>
    <w:r>
      <w:rPr>
        <w:color w:val="667085"/>
        <w:sz w:val="17"/>
        <w:rtl/>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0EA" w:rsidRDefault="00BA10EA">
      <w:pPr>
        <w:spacing w:after="0" w:line="240" w:lineRule="auto"/>
        <w:rPr>
          <w:rFonts w:hint="eastAsia"/>
        </w:rPr>
      </w:pPr>
      <w:r>
        <w:separator/>
      </w:r>
    </w:p>
  </w:footnote>
  <w:footnote w:type="continuationSeparator" w:id="0">
    <w:p w:rsidR="00BA10EA" w:rsidRDefault="00BA10EA">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DDA" w:rsidRDefault="00BA10EA">
    <w:pPr>
      <w:pStyle w:val="a4"/>
      <w:rPr>
        <w:rFonts w:hint="eastAsia"/>
      </w:rPr>
    </w:pPr>
    <w:r>
      <w:rPr>
        <w:rFonts w:cs="Times New Roman"/>
        <w:b/>
        <w:color w:val="087F5B"/>
        <w:sz w:val="17"/>
        <w:rtl/>
      </w:rPr>
      <w:t xml:space="preserve">مجد </w:t>
    </w:r>
    <w:r>
      <w:rPr>
        <w:b/>
        <w:color w:val="087F5B"/>
        <w:sz w:val="17"/>
        <w:rtl/>
      </w:rPr>
      <w:t xml:space="preserve">| </w:t>
    </w:r>
    <w:r>
      <w:rPr>
        <w:rFonts w:cs="Times New Roman"/>
        <w:b/>
        <w:color w:val="087F5B"/>
        <w:sz w:val="17"/>
        <w:rtl/>
      </w:rPr>
      <w:t>نموذج سياسة السلوك وأخلاقيات العمل</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A1747E3"/>
    <w:multiLevelType w:val="singleLevel"/>
    <w:tmpl w:val="3C38BB20"/>
    <w:lvl w:ilvl="0">
      <w:start w:val="1"/>
      <w:numFmt w:val="decimal"/>
      <w:pStyle w:val="a"/>
      <w:lvlText w:val="%1."/>
      <w:lvlJc w:val="right"/>
      <w:pPr>
        <w:tabs>
          <w:tab w:val="num" w:pos="540"/>
        </w:tabs>
        <w:spacing w:after="80" w:line="300" w:lineRule="auto"/>
        <w:ind w:right="540" w:hanging="270"/>
      </w:pPr>
    </w:lvl>
  </w:abstractNum>
  <w:abstractNum w:abstractNumId="10" w15:restartNumberingAfterBreak="0">
    <w:nsid w:val="3F9B5B50"/>
    <w:multiLevelType w:val="singleLevel"/>
    <w:tmpl w:val="88605ED8"/>
    <w:lvl w:ilvl="0">
      <w:start w:val="1"/>
      <w:numFmt w:val="bullet"/>
      <w:lvlText w:val="•"/>
      <w:lvlJc w:val="right"/>
      <w:pPr>
        <w:tabs>
          <w:tab w:val="num" w:pos="540"/>
        </w:tabs>
        <w:spacing w:after="80" w:line="300" w:lineRule="auto"/>
        <w:ind w:right="540" w:hanging="270"/>
      </w:pPr>
    </w:lvl>
  </w:abstractNum>
  <w:abstractNum w:abstractNumId="11" w15:restartNumberingAfterBreak="0">
    <w:nsid w:val="6C09516E"/>
    <w:multiLevelType w:val="multilevel"/>
    <w:tmpl w:val="5D3E98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594DDA"/>
    <w:rsid w:val="00AA1D8D"/>
    <w:rsid w:val="00B47730"/>
    <w:rsid w:val="00BA10EA"/>
    <w:rsid w:val="00CB0664"/>
    <w:rsid w:val="00E677CE"/>
    <w:rsid w:val="00FC693F"/>
  </w:rsids>
  <m:mathPr>
    <m:mathFont m:val="Cambria Math"/>
    <m:brkBin m:val="before"/>
    <m:brkBinSub m:val="--"/>
    <m:smallFrac m:val="0"/>
    <m:dispDef/>
    <m:lMargin m:val="0"/>
    <m:rMargin m:val="0"/>
    <m:defJc m:val="centerGroup"/>
    <m:wrapIndent m:val="1440"/>
    <m:intLim m:val="subSup"/>
    <m:naryLim m:val="undOvr"/>
  </m:mathPr>
  <w:themeFontLang w:val="ar-S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DCB2E3BA-9FCF-48B3-89DD-605DA600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bidi/>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C693F"/>
    <w:pPr>
      <w:spacing w:after="120" w:line="300" w:lineRule="auto"/>
      <w:jc w:val="right"/>
    </w:pPr>
    <w:rPr>
      <w:rFonts w:ascii="DejaVu Sans" w:hAnsi="DejaVu Sans" w:cs="DejaVu Sans"/>
      <w:color w:val="1F2937"/>
      <w:sz w:val="21"/>
    </w:rPr>
  </w:style>
  <w:style w:type="paragraph" w:styleId="1">
    <w:name w:val="heading 1"/>
    <w:basedOn w:val="a0"/>
    <w:next w:val="a0"/>
    <w:link w:val="1Char"/>
    <w:uiPriority w:val="9"/>
    <w:qFormat/>
    <w:rsid w:val="00FC693F"/>
    <w:pPr>
      <w:keepNext/>
      <w:keepLines/>
      <w:spacing w:before="360" w:after="200"/>
      <w:outlineLvl w:val="0"/>
    </w:pPr>
    <w:rPr>
      <w:rFonts w:asciiTheme="majorHAnsi" w:eastAsiaTheme="majorEastAsia" w:hAnsiTheme="majorHAnsi" w:cstheme="majorBidi"/>
      <w:b/>
      <w:bCs/>
      <w:color w:val="087F5B"/>
      <w:sz w:val="32"/>
      <w:szCs w:val="28"/>
    </w:rPr>
  </w:style>
  <w:style w:type="paragraph" w:styleId="2">
    <w:name w:val="heading 2"/>
    <w:basedOn w:val="a0"/>
    <w:next w:val="a0"/>
    <w:link w:val="2Char"/>
    <w:uiPriority w:val="9"/>
    <w:unhideWhenUsed/>
    <w:qFormat/>
    <w:rsid w:val="00FC693F"/>
    <w:pPr>
      <w:keepNext/>
      <w:keepLines/>
      <w:spacing w:before="280" w:after="140"/>
      <w:outlineLvl w:val="1"/>
    </w:pPr>
    <w:rPr>
      <w:rFonts w:asciiTheme="majorHAnsi" w:eastAsiaTheme="majorEastAsia" w:hAnsiTheme="majorHAnsi" w:cstheme="majorBidi"/>
      <w:b/>
      <w:bCs/>
      <w:color w:val="087F5B"/>
      <w:sz w:val="26"/>
      <w:szCs w:val="26"/>
    </w:rPr>
  </w:style>
  <w:style w:type="paragraph" w:styleId="3">
    <w:name w:val="heading 3"/>
    <w:basedOn w:val="a0"/>
    <w:next w:val="a0"/>
    <w:link w:val="3Char"/>
    <w:uiPriority w:val="9"/>
    <w:unhideWhenUsed/>
    <w:qFormat/>
    <w:rsid w:val="00FC693F"/>
    <w:pPr>
      <w:keepNext/>
      <w:keepLines/>
      <w:spacing w:before="200" w:after="100"/>
      <w:outlineLvl w:val="2"/>
    </w:pPr>
    <w:rPr>
      <w:rFonts w:asciiTheme="majorHAnsi" w:eastAsiaTheme="majorEastAsia" w:hAnsiTheme="majorHAnsi" w:cstheme="majorBidi"/>
      <w:b/>
      <w:bCs/>
      <w:color w:val="17243A"/>
      <w:sz w:val="23"/>
    </w:rPr>
  </w:style>
  <w:style w:type="paragraph" w:styleId="4">
    <w:name w:val="heading 4"/>
    <w:basedOn w:val="a0"/>
    <w:next w:val="a0"/>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1"/>
    <w:link w:val="a4"/>
    <w:uiPriority w:val="99"/>
    <w:rsid w:val="00E618BF"/>
  </w:style>
  <w:style w:type="paragraph" w:styleId="a5">
    <w:name w:val="footer"/>
    <w:basedOn w:val="a0"/>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1"/>
    <w:link w:val="a5"/>
    <w:uiPriority w:val="99"/>
    <w:rsid w:val="00E618BF"/>
  </w:style>
  <w:style w:type="paragraph" w:styleId="a6">
    <w:name w:val="No Spacing"/>
    <w:uiPriority w:val="1"/>
    <w:qFormat/>
    <w:rsid w:val="00FC693F"/>
    <w:pPr>
      <w:spacing w:after="0" w:line="240" w:lineRule="auto"/>
    </w:pPr>
  </w:style>
  <w:style w:type="character" w:customStyle="1" w:styleId="1Char">
    <w:name w:val="العنوان 1 Char"/>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uiPriority w:val="9"/>
    <w:rsid w:val="00FC693F"/>
    <w:rPr>
      <w:rFonts w:asciiTheme="majorHAnsi" w:eastAsiaTheme="majorEastAsia" w:hAnsiTheme="majorHAnsi" w:cstheme="majorBidi"/>
      <w:b/>
      <w:bCs/>
      <w:color w:val="4F81BD" w:themeColor="accent1"/>
    </w:rPr>
  </w:style>
  <w:style w:type="paragraph" w:styleId="a7">
    <w:name w:val="Title"/>
    <w:basedOn w:val="a0"/>
    <w:next w:val="a0"/>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1"/>
    <w:link w:val="a7"/>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0"/>
    <w:next w:val="a0"/>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1"/>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9">
    <w:name w:val="List Paragraph"/>
    <w:basedOn w:val="a0"/>
    <w:uiPriority w:val="34"/>
    <w:qFormat/>
    <w:rsid w:val="00FC693F"/>
    <w:pPr>
      <w:ind w:left="720"/>
      <w:contextualSpacing/>
    </w:pPr>
  </w:style>
  <w:style w:type="paragraph" w:styleId="aa">
    <w:name w:val="Body Text"/>
    <w:basedOn w:val="a0"/>
    <w:link w:val="Char3"/>
    <w:uiPriority w:val="99"/>
    <w:unhideWhenUsed/>
    <w:rsid w:val="00AA1D8D"/>
  </w:style>
  <w:style w:type="character" w:customStyle="1" w:styleId="Char3">
    <w:name w:val="نص أساسي Char"/>
    <w:basedOn w:val="a1"/>
    <w:link w:val="aa"/>
    <w:uiPriority w:val="99"/>
    <w:rsid w:val="00AA1D8D"/>
  </w:style>
  <w:style w:type="paragraph" w:styleId="20">
    <w:name w:val="Body Text 2"/>
    <w:basedOn w:val="a0"/>
    <w:link w:val="2Char0"/>
    <w:uiPriority w:val="99"/>
    <w:unhideWhenUsed/>
    <w:rsid w:val="00AA1D8D"/>
    <w:pPr>
      <w:spacing w:line="480" w:lineRule="auto"/>
    </w:pPr>
  </w:style>
  <w:style w:type="character" w:customStyle="1" w:styleId="2Char0">
    <w:name w:val="نص أساسي 2 Char"/>
    <w:basedOn w:val="a1"/>
    <w:link w:val="20"/>
    <w:uiPriority w:val="99"/>
    <w:rsid w:val="00AA1D8D"/>
  </w:style>
  <w:style w:type="paragraph" w:styleId="30">
    <w:name w:val="Body Text 3"/>
    <w:basedOn w:val="a0"/>
    <w:link w:val="3Char0"/>
    <w:uiPriority w:val="99"/>
    <w:unhideWhenUsed/>
    <w:rsid w:val="00AA1D8D"/>
    <w:rPr>
      <w:sz w:val="16"/>
      <w:szCs w:val="16"/>
    </w:rPr>
  </w:style>
  <w:style w:type="character" w:customStyle="1" w:styleId="3Char0">
    <w:name w:val="نص أساسي 3 Char"/>
    <w:basedOn w:val="a1"/>
    <w:link w:val="30"/>
    <w:uiPriority w:val="99"/>
    <w:rsid w:val="00AA1D8D"/>
    <w:rPr>
      <w:sz w:val="16"/>
      <w:szCs w:val="16"/>
    </w:rPr>
  </w:style>
  <w:style w:type="paragraph" w:styleId="ab">
    <w:name w:val="List"/>
    <w:basedOn w:val="a0"/>
    <w:uiPriority w:val="99"/>
    <w:unhideWhenUsed/>
    <w:rsid w:val="00AA1D8D"/>
    <w:pPr>
      <w:ind w:left="360" w:hanging="360"/>
      <w:contextualSpacing/>
    </w:pPr>
  </w:style>
  <w:style w:type="paragraph" w:styleId="21">
    <w:name w:val="List 2"/>
    <w:basedOn w:val="a0"/>
    <w:uiPriority w:val="99"/>
    <w:unhideWhenUsed/>
    <w:rsid w:val="00326F90"/>
    <w:pPr>
      <w:ind w:left="720" w:hanging="360"/>
      <w:contextualSpacing/>
    </w:pPr>
  </w:style>
  <w:style w:type="paragraph" w:styleId="31">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2">
    <w:name w:val="List Bullet 2"/>
    <w:basedOn w:val="a0"/>
    <w:uiPriority w:val="99"/>
    <w:unhideWhenUsed/>
    <w:rsid w:val="00326F90"/>
    <w:pPr>
      <w:tabs>
        <w:tab w:val="num" w:pos="360"/>
      </w:tabs>
      <w:contextualSpacing/>
    </w:pPr>
  </w:style>
  <w:style w:type="paragraph" w:styleId="32">
    <w:name w:val="List Bullet 3"/>
    <w:basedOn w:val="a0"/>
    <w:uiPriority w:val="99"/>
    <w:unhideWhenUsed/>
    <w:rsid w:val="00326F90"/>
    <w:pPr>
      <w:tabs>
        <w:tab w:val="num" w:pos="360"/>
      </w:tabs>
      <w:contextualSpacing/>
    </w:pPr>
  </w:style>
  <w:style w:type="paragraph" w:styleId="ac">
    <w:name w:val="List Number"/>
    <w:basedOn w:val="a0"/>
    <w:uiPriority w:val="99"/>
    <w:unhideWhenUsed/>
    <w:rsid w:val="00326F90"/>
    <w:pPr>
      <w:tabs>
        <w:tab w:val="num" w:pos="360"/>
      </w:tabs>
      <w:contextualSpacing/>
    </w:pPr>
  </w:style>
  <w:style w:type="paragraph" w:styleId="23">
    <w:name w:val="List Number 2"/>
    <w:basedOn w:val="a0"/>
    <w:uiPriority w:val="99"/>
    <w:unhideWhenUsed/>
    <w:rsid w:val="0029639D"/>
    <w:pPr>
      <w:tabs>
        <w:tab w:val="num" w:pos="360"/>
      </w:tabs>
      <w:contextualSpacing/>
    </w:pPr>
  </w:style>
  <w:style w:type="paragraph" w:styleId="33">
    <w:name w:val="List Number 3"/>
    <w:basedOn w:val="a0"/>
    <w:uiPriority w:val="99"/>
    <w:unhideWhenUsed/>
    <w:rsid w:val="0029639D"/>
    <w:pPr>
      <w:tabs>
        <w:tab w:val="num" w:pos="360"/>
      </w:tabs>
      <w:contextualSpacing/>
    </w:pPr>
  </w:style>
  <w:style w:type="paragraph" w:styleId="ad">
    <w:name w:val="List Continue"/>
    <w:basedOn w:val="a0"/>
    <w:uiPriority w:val="99"/>
    <w:unhideWhenUsed/>
    <w:rsid w:val="0029639D"/>
    <w:pPr>
      <w:ind w:left="360"/>
      <w:contextualSpacing/>
    </w:pPr>
  </w:style>
  <w:style w:type="paragraph" w:styleId="24">
    <w:name w:val="List Continue 2"/>
    <w:basedOn w:val="a0"/>
    <w:uiPriority w:val="99"/>
    <w:unhideWhenUsed/>
    <w:rsid w:val="0029639D"/>
    <w:pPr>
      <w:ind w:left="720"/>
      <w:contextualSpacing/>
    </w:pPr>
  </w:style>
  <w:style w:type="paragraph" w:styleId="34">
    <w:name w:val="List Continue 3"/>
    <w:basedOn w:val="a0"/>
    <w:uiPriority w:val="99"/>
    <w:unhideWhenUsed/>
    <w:rsid w:val="0029639D"/>
    <w:pPr>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1"/>
    <w:link w:val="ae"/>
    <w:uiPriority w:val="99"/>
    <w:rsid w:val="0029639D"/>
    <w:rPr>
      <w:rFonts w:ascii="Courier" w:hAnsi="Courier"/>
      <w:sz w:val="20"/>
      <w:szCs w:val="20"/>
    </w:rPr>
  </w:style>
  <w:style w:type="paragraph" w:styleId="af">
    <w:name w:val="Quote"/>
    <w:basedOn w:val="a0"/>
    <w:next w:val="a0"/>
    <w:link w:val="Char5"/>
    <w:uiPriority w:val="29"/>
    <w:qFormat/>
    <w:rsid w:val="00FC693F"/>
    <w:rPr>
      <w:i/>
      <w:iCs/>
      <w:color w:val="000000" w:themeColor="text1"/>
    </w:rPr>
  </w:style>
  <w:style w:type="character" w:customStyle="1" w:styleId="Char5">
    <w:name w:val="اقتباس Char"/>
    <w:basedOn w:val="a1"/>
    <w:link w:val="af"/>
    <w:uiPriority w:val="29"/>
    <w:rsid w:val="00FC693F"/>
    <w:rPr>
      <w:i/>
      <w:iCs/>
      <w:color w:val="000000" w:themeColor="text1"/>
    </w:rPr>
  </w:style>
  <w:style w:type="character" w:customStyle="1" w:styleId="4Char">
    <w:name w:val="عنوان 4 Char"/>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1">
    <w:name w:val="Strong"/>
    <w:basedOn w:val="a1"/>
    <w:uiPriority w:val="22"/>
    <w:qFormat/>
    <w:rsid w:val="00FC693F"/>
    <w:rPr>
      <w:b/>
      <w:bCs/>
    </w:rPr>
  </w:style>
  <w:style w:type="character" w:styleId="af2">
    <w:name w:val="Emphasis"/>
    <w:basedOn w:val="a1"/>
    <w:uiPriority w:val="20"/>
    <w:qFormat/>
    <w:rsid w:val="00FC693F"/>
    <w:rPr>
      <w:i/>
      <w:iCs/>
    </w:rPr>
  </w:style>
  <w:style w:type="paragraph" w:styleId="af3">
    <w:name w:val="Intense Quote"/>
    <w:basedOn w:val="a0"/>
    <w:next w:val="a0"/>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1"/>
    <w:link w:val="af3"/>
    <w:uiPriority w:val="30"/>
    <w:rsid w:val="00FC693F"/>
    <w:rPr>
      <w:b/>
      <w:bCs/>
      <w:i/>
      <w:iCs/>
      <w:color w:val="4F81BD" w:themeColor="accent1"/>
    </w:rPr>
  </w:style>
  <w:style w:type="character" w:styleId="af4">
    <w:name w:val="Subtle Emphasis"/>
    <w:basedOn w:val="a1"/>
    <w:uiPriority w:val="19"/>
    <w:qFormat/>
    <w:rsid w:val="00FC693F"/>
    <w:rPr>
      <w:i/>
      <w:iCs/>
      <w:color w:val="808080" w:themeColor="text1" w:themeTint="7F"/>
    </w:rPr>
  </w:style>
  <w:style w:type="character" w:styleId="af5">
    <w:name w:val="Intense Emphasis"/>
    <w:basedOn w:val="a1"/>
    <w:uiPriority w:val="21"/>
    <w:qFormat/>
    <w:rsid w:val="00FC693F"/>
    <w:rPr>
      <w:b/>
      <w:bCs/>
      <w:i/>
      <w:iCs/>
      <w:color w:val="4F81BD" w:themeColor="accent1"/>
    </w:rPr>
  </w:style>
  <w:style w:type="character" w:styleId="af6">
    <w:name w:val="Subtle Reference"/>
    <w:basedOn w:val="a1"/>
    <w:uiPriority w:val="31"/>
    <w:qFormat/>
    <w:rsid w:val="00FC693F"/>
    <w:rPr>
      <w:smallCaps/>
      <w:color w:val="C0504D" w:themeColor="accent2"/>
      <w:u w:val="single"/>
    </w:rPr>
  </w:style>
  <w:style w:type="character" w:styleId="af7">
    <w:name w:val="Intense Reference"/>
    <w:basedOn w:val="a1"/>
    <w:uiPriority w:val="32"/>
    <w:qFormat/>
    <w:rsid w:val="00FC693F"/>
    <w:rPr>
      <w:b/>
      <w:bCs/>
      <w:smallCaps/>
      <w:color w:val="C0504D" w:themeColor="accent2"/>
      <w:spacing w:val="5"/>
      <w:u w:val="single"/>
    </w:rPr>
  </w:style>
  <w:style w:type="character" w:styleId="af8">
    <w:name w:val="Book Title"/>
    <w:basedOn w:val="a1"/>
    <w:uiPriority w:val="33"/>
    <w:qFormat/>
    <w:rsid w:val="00FC693F"/>
    <w:rPr>
      <w:b/>
      <w:bCs/>
      <w:smallCaps/>
      <w:spacing w:val="5"/>
    </w:rPr>
  </w:style>
  <w:style w:type="paragraph" w:styleId="af9">
    <w:name w:val="TOC Heading"/>
    <w:basedOn w:val="1"/>
    <w:next w:val="a0"/>
    <w:uiPriority w:val="39"/>
    <w:semiHidden/>
    <w:unhideWhenUsed/>
    <w:qFormat/>
    <w:rsid w:val="00FC693F"/>
    <w:pPr>
      <w:outlineLvl w:val="9"/>
    </w:pPr>
  </w:style>
  <w:style w:type="table" w:styleId="afa">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sd.gov.sa/knowledge-centre/labour-education-regulation-and-procedures" TargetMode="External"/><Relationship Id="rId13" Type="http://schemas.openxmlformats.org/officeDocument/2006/relationships/hyperlink" Target="https://dgp.sdaia.gov.sa/wps/portal/pdp/about/featu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s.boe.gov.sa/BoeLaws/Laws/LawDetails/6c421c5c-c137-442e-a854-b12200c46ffe/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s.boe.gov.sa/BoeLaws/Laws/Viewer/df98d82c-c131-437b-8f0b-fff4c3248882?lawId=75e963c8-9f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aws.boe.gov.sa/BoeLaws/Laws/Viewer/e8d58c23-03a8-47d3-9748-a9f8015cf6d9?lawId=f9de1b7f-7526-4c44-b9f3-a9f8015cf5b6" TargetMode="External"/><Relationship Id="rId4" Type="http://schemas.openxmlformats.org/officeDocument/2006/relationships/settings" Target="settings.xml"/><Relationship Id="rId9" Type="http://schemas.openxmlformats.org/officeDocument/2006/relationships/hyperlink" Target="https://www.hrsd.gov.sa/media-center/news/%D8%AA%D8%B9%D8%B2%D9%8A%D8%B2-%D8%A7%D9%84%D8%AD%D9%85%D8%A7%D9%8A%D8%A9-%D9%85%D9%86-%D8%A7%D9%84%D8%AA%D8%B9%D8%AF%D9%8A%D8%A7%D8%AA-%D8%A7%D9%84%D8%B3%D9%84%D9%88%D9%83%D9%8A%D8%A9-%D9%81%D9%8A-%D8%A8%D9%8A%D8%A6%D8%A9-%D8%A7%D9%84%D8%B9%D9%85%D9%8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D2207-603E-4D5F-9652-69AF0206E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2892</Words>
  <Characters>16485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سياسة السلوك وأخلاقيات العمل</dc:title>
  <dc:subject>قالب استرشادي عام متوافق مع الأنظمة السعودية</dc:subject>
  <dc:creator>مجد</dc:creator>
  <cp:keywords>السلوك، أخلاقيات العمل، النزاهة، تعارض المصالح، الهدايا، الرشوة، التحرش، البلاغات، الموارد البشرية، مجد</cp:keywords>
  <dc:description>generated by python-docx</dc:description>
  <cp:lastModifiedBy>Thamer Al Shehri</cp:lastModifiedBy>
  <cp:revision>2</cp:revision>
  <dcterms:created xsi:type="dcterms:W3CDTF">2013-12-23T23:15:00Z</dcterms:created>
  <dcterms:modified xsi:type="dcterms:W3CDTF">2026-08-09T11:16:00Z</dcterms:modified>
  <cp:category/>
</cp:coreProperties>
</file>