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after="160"/>
        <w:jc w:val="center"/>
        <w:bidi w:val="1"/>
      </w:pPr>
      <w:r>
        <w:rPr>
          <w:rFonts w:ascii="DejaVu Sans" w:hAnsi="DejaVu Sans" w:cs="DejaVu Sans" w:eastAsia="DejaVu Sans"/>
          <w:b/>
          <w:color w:val="087F5B"/>
          <w:sz w:val="24"/>
          <w:lang w:val="ar-SA" w:bidi="ar-SA"/>
        </w:rPr>
        <w:t>نموذج الأوصاف الوظيفية</w:t>
      </w:r>
    </w:p>
    <w:p>
      <w:pPr>
        <w:spacing w:after="40"/>
        <w:jc w:val="center"/>
        <w:bidi w:val="1"/>
      </w:pPr>
      <w:r>
        <w:rPr>
          <w:rFonts w:ascii="DejaVu Sans" w:hAnsi="DejaVu Sans" w:cs="DejaVu Sans" w:eastAsia="DejaVu Sans"/>
          <w:b/>
          <w:color w:val="17243A"/>
          <w:sz w:val="36"/>
          <w:lang w:val="ar-SA" w:bidi="ar-SA"/>
        </w:rPr>
        <w:t>مسؤول سلامة</w:t>
      </w:r>
    </w:p>
    <w:p>
      <w:pPr>
        <w:spacing w:after="40"/>
        <w:jc w:val="center"/>
        <w:bidi w:val="1"/>
      </w:pPr>
      <w:r>
        <w:rPr>
          <w:rFonts w:ascii="DejaVu Sans" w:hAnsi="DejaVu Sans" w:cs="DejaVu Sans" w:eastAsia="DejaVu Sans"/>
          <w:b w:val="0"/>
          <w:color w:val="667085"/>
          <w:sz w:val="21"/>
          <w:lang w:val="ar-SA" w:bidi="ar-SA"/>
        </w:rPr>
        <w:t>Safety Officer</w:t>
      </w:r>
    </w:p>
    <w:p>
      <w:pPr>
        <w:spacing w:after="280"/>
        <w:jc w:val="center"/>
        <w:bidi w:val="1"/>
      </w:pPr>
      <w:r>
        <w:rPr>
          <w:rFonts w:ascii="DejaVu Sans" w:hAnsi="DejaVu Sans" w:cs="DejaVu Sans" w:eastAsia="DejaVu Sans"/>
          <w:b w:val="0"/>
          <w:color w:val="667085"/>
          <w:sz w:val="20"/>
          <w:lang w:val="ar-SA" w:bidi="ar-SA"/>
        </w:rPr>
        <w:t>قالب استرشادي عام قابل للتخصيص للمنشآت في المملكة العربية السعودية</w:t>
      </w:r>
    </w:p>
    <w:tbl>
      <w:tblPr>
        <w:tblStyle w:val="TableGrid"/>
        <w:tblW w:type="auto" w:w="0"/>
        <w:jc w:val="center"/>
        <w:tblLook w:firstColumn="1" w:firstRow="1" w:lastColumn="0" w:lastRow="0" w:noHBand="0" w:noVBand="1" w:val="04A0"/>
      </w:tblPr>
      <w:tblGrid>
        <w:gridCol w:w="2448"/>
        <w:gridCol w:w="2448"/>
        <w:gridCol w:w="2448"/>
        <w:gridCol w:w="2448"/>
      </w:tblGrid>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JD-HSE-015</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رمز الوثيقة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[اسم المنشأة]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اسم المنشأة</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تاريخ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[1.0]</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الإصدار</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[صاحب الصلاحية]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جهة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إدارة الموارد البشرية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مالك الوصف</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المراجعة القادمة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سنويًا أو عند تغير نطاق الوظيفة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دورية المراجعة</w:t>
            </w:r>
          </w:p>
        </w:tc>
      </w:tr>
    </w:tbl>
    <w:p>
      <w:pPr>
        <w:spacing w:after="0"/>
      </w:pPr>
    </w:p>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طريقة الاستخدام: </w:t>
            </w:r>
            <w:r>
              <w:rPr>
                <w:rFonts w:ascii="DejaVu Sans" w:hAnsi="DejaVu Sans" w:cs="DejaVu Sans" w:eastAsia="DejaVu Sans"/>
                <w:b w:val="0"/>
                <w:color w:val="1F2937"/>
                <w:sz w:val="19"/>
                <w:lang w:val="ar-SA" w:bidi="ar-SA"/>
              </w:rPr>
              <w:t>استبدل النصوص الزرقاء بين الأقواس [ ] ببيانات المنشأة، وراجع نطاق المسؤوليات والمؤهلات والصلاحيات ومؤشرات الأداء قبل الاعتماد.</w:t>
            </w:r>
          </w:p>
        </w:tc>
      </w:tr>
    </w:tbl>
    <w:p>
      <w:pPr>
        <w:spacing w:after="0"/>
      </w:pPr>
    </w:p>
    <w:tbl>
      <w:tblPr>
        <w:tblW w:type="auto" w:w="0"/>
        <w:jc w:val="center"/>
        <w:tblLook w:firstColumn="1" w:firstRow="1" w:lastColumn="0" w:lastRow="0" w:noHBand="0" w:noVBand="1" w:val="04A0"/>
      </w:tblPr>
      <w:tblGrid>
        <w:gridCol w:w="9792"/>
      </w:tblGrid>
      <w:tr>
        <w:tc>
          <w:tcPr>
            <w:tcW w:type="dxa" w:w="9792"/>
            <w:shd w:fill="FFF4E5"/>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B26A00"/>
                <w:sz w:val="19"/>
                <w:lang w:val="ar-SA" w:bidi="ar-SA"/>
              </w:rPr>
              <w:t xml:space="preserve">تنبيه مهم: </w:t>
            </w:r>
            <w:r>
              <w:rPr>
                <w:rFonts w:ascii="DejaVu Sans" w:hAnsi="DejaVu Sans" w:cs="DejaVu Sans" w:eastAsia="DejaVu Sans"/>
                <w:b w:val="0"/>
                <w:color w:val="1F2937"/>
                <w:sz w:val="19"/>
                <w:lang w:val="ar-SA" w:bidi="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pPr>
        <w:spacing w:after="0"/>
      </w:pPr>
    </w:p>
    <w:p>
      <w:pPr>
        <w:jc w:val="center"/>
        <w:bidi w:val="1"/>
      </w:pPr>
      <w:r>
        <w:rPr>
          <w:rFonts w:ascii="DejaVu Sans" w:hAnsi="DejaVu Sans" w:cs="DejaVu Sans" w:eastAsia="DejaVu Sans"/>
          <w:b w:val="0"/>
          <w:color w:val="667085"/>
          <w:sz w:val="18"/>
          <w:lang w:val="ar-SA" w:bidi="ar-SA"/>
        </w:rPr>
        <w:t>إعداد استرشادي للنشر ضمن نماذج مجد</w:t>
      </w:r>
    </w:p>
    <w:p>
      <w:r>
        <w:br w:type="page"/>
      </w:r>
    </w:p>
    <w:p>
      <w:pPr>
        <w:pStyle w:val="Heading1"/>
        <w:jc w:val="right"/>
        <w:bidi w:val="1"/>
      </w:pPr>
      <w:r/>
      <w:r>
        <w:rPr>
          <w:rFonts w:ascii="DejaVu Sans" w:hAnsi="DejaVu Sans" w:cs="DejaVu Sans" w:eastAsia="DejaVu Sans"/>
          <w:b/>
          <w:color w:val="087F5B"/>
          <w:sz w:val="31"/>
          <w:lang w:val="ar-SA" w:bidi="ar-SA"/>
        </w:rPr>
        <w:t>1. بطاقة الوظيفة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البيانات</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مسؤول سلامة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Safety Officer</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بالإنجليزية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الصحة والسلامة والبيئة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العائلة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الصحة والسلامة والبيئة / HSE</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الإدارة / القسم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[مشرف السلامة / مدير HSE / مدير الموقع]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الرئيس المباشر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لا يوجد / [حسب الهيكل]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المرؤوسون المباشرون</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مسؤول / أخصائي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المستوى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[الدرجة المعتمدة]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الدرجة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[المدينة / الموقع]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موقع العمل</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[حضوري / هجين / عن بعد]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نمط العمل</w:t>
            </w:r>
          </w:p>
        </w:tc>
      </w:tr>
    </w:tbl>
    <w:p>
      <w:pPr>
        <w:pStyle w:val="Heading1"/>
        <w:jc w:val="right"/>
        <w:bidi w:val="1"/>
      </w:pPr>
      <w:r/>
      <w:r>
        <w:rPr>
          <w:rFonts w:ascii="DejaVu Sans" w:hAnsi="DejaVu Sans" w:cs="DejaVu Sans" w:eastAsia="DejaVu Sans"/>
          <w:b/>
          <w:color w:val="087F5B"/>
          <w:sz w:val="31"/>
          <w:lang w:val="ar-SA" w:bidi="ar-SA"/>
        </w:rPr>
        <w:t>2. الغرض من الوظيفة</w:t>
      </w:r>
    </w:p>
    <w:p>
      <w:pPr>
        <w:spacing w:after="100" w:line="264" w:lineRule="auto"/>
        <w:jc w:val="right"/>
        <w:bidi w:val="1"/>
      </w:pPr>
      <w:r>
        <w:rPr>
          <w:rFonts w:ascii="DejaVu Sans" w:hAnsi="DejaVu Sans" w:cs="DejaVu Sans" w:eastAsia="DejaVu Sans"/>
          <w:b w:val="0"/>
          <w:color w:val="1F2937"/>
          <w:sz w:val="20"/>
          <w:lang w:val="ar-SA" w:bidi="ar-SA"/>
        </w:rPr>
        <w:t>دعم بيئة عمل آمنة من خلال تنفيذ جولات التفتيش وتقييم المخاطر ومتابعة تصاريح العمل والتوعية والتحقيق الأولي في الحوادث ومتابعة الإجراءات التصحيحية، مع امتلاك صلاحية التصعيد الفوري عند وجود خطر وشيك وعدم السماح لضغط الإنتاج بإخفاء المخاطر.</w:t>
      </w:r>
    </w:p>
    <w:p>
      <w:pPr>
        <w:pStyle w:val="Heading1"/>
        <w:jc w:val="right"/>
        <w:bidi w:val="1"/>
      </w:pPr>
      <w:r/>
      <w:r>
        <w:rPr>
          <w:rFonts w:ascii="DejaVu Sans" w:hAnsi="DejaVu Sans" w:cs="DejaVu Sans" w:eastAsia="DejaVu Sans"/>
          <w:b/>
          <w:color w:val="087F5B"/>
          <w:sz w:val="31"/>
          <w:lang w:val="ar-SA" w:bidi="ar-SA"/>
        </w:rPr>
        <w:t>3. سياق الوظيفة ونطاق الأثر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البعد</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[حجم العملاء/المعاملات/المشاريع بحسب الدور]</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حجم النطاق المخدوم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الإدارات/المواقع/المنطقة]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النطاق التنظيمي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مباشر على منع الإصابات والحوادث والامتثال الميداني واستمرارية التشغيل وسمعة المنشأة.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طبيعة الأثر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ينفذ التفتيش والتوعية والمتابعة ويطلب إيقاف العمل عند وجود خطر وشيك وفق الإجراء؛ الاستثناءات الجوهرية وخطط HSE والتغييرات الكبرى تعتمد.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مستوى الاستقلالية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سري/حساس - حوادث وإصابات وتحقيقات وملاحظات ومعلومات مواقع وعاملين</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حساسية المعلومات</w:t>
            </w:r>
          </w:p>
        </w:tc>
      </w:tr>
    </w:tbl>
    <w:p>
      <w:pPr>
        <w:pStyle w:val="Heading1"/>
        <w:jc w:val="right"/>
        <w:bidi w:val="1"/>
      </w:pPr>
      <w:r/>
      <w:r>
        <w:rPr>
          <w:rFonts w:ascii="DejaVu Sans" w:hAnsi="DejaVu Sans" w:cs="DejaVu Sans" w:eastAsia="DejaVu Sans"/>
          <w:b/>
          <w:color w:val="087F5B"/>
          <w:sz w:val="31"/>
          <w:lang w:val="ar-SA" w:bidi="ar-SA"/>
        </w:rPr>
        <w:t>4. النتائج الرئيسية المتوقعة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مخاطر ميدانية تكتشف وتعالج قبل تحولها إلى حادث.</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تصاريح العمل تستخدم كتحقق فعلي لا كإجراء شكلي.</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الإجراءات التصحيحية تغلق بأدلة ولا تتكرر الملاحظات نفسها.</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الحوادث وNear Misses تبلغ وتحقق بسرعة وموضوعية.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العاملون والمقاولون يفهمون مخاطر أعمالهم وضوابطها.</w:t>
      </w:r>
    </w:p>
    <w:p>
      <w:pPr>
        <w:pStyle w:val="Heading1"/>
        <w:jc w:val="right"/>
        <w:bidi w:val="1"/>
      </w:pPr>
      <w:r/>
      <w:r>
        <w:rPr>
          <w:rFonts w:ascii="DejaVu Sans" w:hAnsi="DejaVu Sans" w:cs="DejaVu Sans" w:eastAsia="DejaVu Sans"/>
          <w:b/>
          <w:color w:val="087F5B"/>
          <w:sz w:val="31"/>
          <w:lang w:val="ar-SA" w:bidi="ar-SA"/>
        </w:rPr>
        <w:t>5. المسؤوليات والمهام الرئيسية</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54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المهام والمسؤوليات</w:t>
            </w:r>
          </w:p>
        </w:tc>
        <w:tc>
          <w:tcPr>
            <w:tcW w:type="dxa" w:w="17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مجال المسؤولية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مخاطر مرئية ومغلقة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تنفيذ جولات حسب خطة وتغطية المخاطر.</w:t>
              <w:br/>
              <w:t>• توثيق الملاحظات بالتصنيف والموقع والمالك.</w:t>
              <w:br/>
              <w:t>• متابعة الإغلاق والتحقق من فعالية التصحيح.</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التفتيش الميداني</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عمل يبدأ بضوابط صحيحة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مراجعة JSA/RA قبل الأنشطة الحساسة.</w:t>
              <w:br/>
              <w:t>• التحقق من شروط تصريح العمل ميدانيًا.</w:t>
              <w:br/>
              <w:t>• التأكد من العزل والحواجز وPPE والمتطلبات ذات الصلة.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تقييم المخاطر وPTW</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سلوك وتطبيق أكثر أمانًا</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تنفيذ Induction وToolbox Talks حسب الحاجة.</w:t>
              <w:br/>
              <w:t>• متابعة التزام المقاولين بمتطلبات HSE.</w:t>
              <w:br/>
              <w:t>• إيقاف السلوك غير الآمن وتصحيحه وفق الإجراء.</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التوعية والمقاولون</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تعلم من الحوادث ومنع تكرارها</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تأمين الموقع والإبلاغ وفق التسلسل.</w:t>
              <w:br/>
              <w:t>• جمع الوقائع الأولية والأدلة دون لوم مسبق.</w:t>
              <w:br/>
              <w:t>• دعم التحقيق وRCA ومتابعة الإجراءات.</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الحوادث</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جاهزية استجابة أفضل</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دعم خطط الطوارئ والتمارين.</w:t>
              <w:br/>
              <w:t>• التحقق من جاهزية المخارج والمعدات ضمن نطاقه.</w:t>
              <w:br/>
              <w:t>• توثيق نتائج التمرين والإجراءات.</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الطوارئ</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HSE Dashboard وإجراءات وقائية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إعداد مؤشرات التفتيش والإغلاق والحوادث.</w:t>
              <w:br/>
              <w:t>• تحليل الملاحظات المتكررة والاتجاهات.</w:t>
              <w:br/>
              <w:t>• اقتراح حملات أو ضوابط تستهدف الأسباب.</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التقارير والتحسين</w:t>
            </w:r>
          </w:p>
        </w:tc>
      </w:tr>
    </w:tbl>
    <w:p>
      <w:pPr>
        <w:pStyle w:val="Heading1"/>
        <w:jc w:val="right"/>
        <w:bidi w:val="1"/>
      </w:pPr>
      <w:r/>
      <w:r>
        <w:rPr>
          <w:rFonts w:ascii="DejaVu Sans" w:hAnsi="DejaVu Sans" w:cs="DejaVu Sans" w:eastAsia="DejaVu Sans"/>
          <w:b/>
          <w:color w:val="087F5B"/>
          <w:sz w:val="31"/>
          <w:lang w:val="ar-SA" w:bidi="ar-SA"/>
        </w:rPr>
        <w:t>6. توزيع المسؤوليات الاسترشادي</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الوزن المقترح</w:t>
            </w:r>
          </w:p>
        </w:tc>
        <w:tc>
          <w:tcPr>
            <w:tcW w:type="dxa" w:w="734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المجال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التفتيش والمتابعة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تقييم المخاطر وPTW</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التوعية والمقاولون</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الحوادث والتحقيق</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التقارير والتحسين</w:t>
            </w:r>
          </w:p>
        </w:tc>
      </w:tr>
    </w:tbl>
    <w:p>
      <w:pPr>
        <w:spacing w:after="0" w:line="264" w:lineRule="auto"/>
        <w:jc w:val="right"/>
        <w:bidi w:val="1"/>
      </w:pPr>
      <w:r>
        <w:rPr>
          <w:rFonts w:ascii="DejaVu Sans" w:hAnsi="DejaVu Sans" w:cs="DejaVu Sans" w:eastAsia="DejaVu Sans"/>
          <w:b w:val="0"/>
          <w:color w:val="667085"/>
          <w:sz w:val="18"/>
          <w:lang w:val="ar-SA" w:bidi="ar-SA"/>
        </w:rPr>
        <w:t>تعدل الأوزان قبل الاعتماد بما يعكس الواقع الفعلي للوظيفة، ويجب أن يكون مجموعها 100%.</w:t>
      </w:r>
    </w:p>
    <w:p>
      <w:pPr>
        <w:pStyle w:val="Heading1"/>
        <w:jc w:val="right"/>
        <w:bidi w:val="1"/>
      </w:pPr>
      <w:r/>
      <w:r>
        <w:rPr>
          <w:rFonts w:ascii="DejaVu Sans" w:hAnsi="DejaVu Sans" w:cs="DejaVu Sans" w:eastAsia="DejaVu Sans"/>
          <w:b/>
          <w:color w:val="087F5B"/>
          <w:sz w:val="31"/>
          <w:lang w:val="ar-SA" w:bidi="ar-SA"/>
        </w:rPr>
        <w:t>7. المؤهلات والخبرة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المتطلب</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دبلوم أو بكالوريوس في السلامة والصحة المهنية أو الهندسة أو تخصص ذي صلة بطبيعة القطاع.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المؤهل العلمي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2-4 سنوات في السلامة الميدانية أو HSE؛ يخصص المستوى حسب خطورة النشاط.</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الخبرة العملية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NEBOSH IGC أو IOSH أو OSHA أو شهادات تخصصية تعد ميزة إضافية بحسب القطاع ومتطلبات المنشأة.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الشهادات المهنية المفضلة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العربية بمستوى مهني، والإنجليزية بحسب بيئة العمل والمقاولين والوثائق الفنية.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اللغات</w:t>
            </w:r>
          </w:p>
        </w:tc>
      </w:tr>
    </w:tbl>
    <w:p>
      <w:pPr>
        <w:pStyle w:val="Heading1"/>
        <w:jc w:val="right"/>
        <w:bidi w:val="1"/>
      </w:pPr>
      <w:r/>
      <w:r>
        <w:rPr>
          <w:rFonts w:ascii="DejaVu Sans" w:hAnsi="DejaVu Sans" w:cs="DejaVu Sans" w:eastAsia="DejaVu Sans"/>
          <w:b/>
          <w:color w:val="087F5B"/>
          <w:sz w:val="31"/>
          <w:lang w:val="ar-SA" w:bidi="ar-SA"/>
        </w:rPr>
        <w:t>8. المعرفة والمهارات الفنية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مستوى الإتقان</w:t>
            </w:r>
          </w:p>
        </w:tc>
        <w:tc>
          <w:tcPr>
            <w:tcW w:type="dxa" w:w="71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المعرفة / المهارة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Risk Assessment</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Permit to Work</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Site Inspection</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Incident Reporting</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Emergency Response Basics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Toolbox Talks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Contractor HSE</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HSE Reporting</w:t>
            </w:r>
          </w:p>
        </w:tc>
      </w:tr>
    </w:tbl>
    <w:p>
      <w:pPr>
        <w:pStyle w:val="Heading1"/>
        <w:jc w:val="right"/>
        <w:bidi w:val="1"/>
      </w:pPr>
      <w:r/>
      <w:r>
        <w:rPr>
          <w:rFonts w:ascii="DejaVu Sans" w:hAnsi="DejaVu Sans" w:cs="DejaVu Sans" w:eastAsia="DejaVu Sans"/>
          <w:b/>
          <w:color w:val="087F5B"/>
          <w:sz w:val="31"/>
          <w:lang w:val="ar-SA" w:bidi="ar-SA"/>
        </w:rPr>
        <w:t>9. الكفاءات السلوكية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السلوك المتوقع</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الكفاءة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يتحمل مسؤولية جودة المخرجات ويتابع العمل حتى الإغلاق.</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المساءلة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ينقل المعلومة بوضوح ويتكيف مع الطرف والموقف.</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التواصل</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يرتب الأولويات ويحافظ على المواعيد والسجلات.</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التنظيم</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يشخص السبب ويختار الإجراء المناسب أو يصعد الحالة.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حل المشكلات</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يتعاون مع الأطراف ذات العلاقة دون فقدان ملكية المهمة.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العمل الجماعي</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يتعامل مع تغير الأولويات والضغط دون الإخلال بالجودة.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المرونة</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مقياس الإتقان: </w:t>
            </w:r>
            <w:r>
              <w:rPr>
                <w:rFonts w:ascii="DejaVu Sans" w:hAnsi="DejaVu Sans" w:cs="DejaVu Sans" w:eastAsia="DejaVu Sans"/>
                <w:b w:val="0"/>
                <w:color w:val="1F2937"/>
                <w:sz w:val="19"/>
                <w:lang w:val="ar-SA" w:bidi="ar-SA"/>
              </w:rPr>
              <w:t>1 = معرفة أساسية، 2 = تطبيق مستقل، 3 = مستوى متقدم وتوجيه الآخرين، 4 = مرجعية/خبير.</w:t>
            </w:r>
          </w:p>
        </w:tc>
      </w:tr>
    </w:tbl>
    <w:p>
      <w:pPr>
        <w:spacing w:after="0"/>
      </w:pPr>
    </w:p>
    <w:p>
      <w:pPr>
        <w:pStyle w:val="Heading1"/>
        <w:jc w:val="right"/>
        <w:bidi w:val="1"/>
      </w:pPr>
      <w:r/>
      <w:r>
        <w:rPr>
          <w:rFonts w:ascii="DejaVu Sans" w:hAnsi="DejaVu Sans" w:cs="DejaVu Sans" w:eastAsia="DejaVu Sans"/>
          <w:b/>
          <w:color w:val="087F5B"/>
          <w:sz w:val="31"/>
          <w:lang w:val="ar-SA" w:bidi="ar-SA"/>
        </w:rPr>
        <w:t>10. الصلاحيات وحدود اتخاذ القرار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8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التفاصيل</w:t>
            </w:r>
          </w:p>
        </w:tc>
        <w:tc>
          <w:tcPr>
            <w:tcW w:type="dxa" w:w="237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نوع القرار</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طلب إيقاف عمل عند وجود خطر وشيك وفق الإجراء.</w:t>
              <w:br/>
              <w:t>• رفض توقيع/إغلاق تحقق سلامة غير مكتمل ضمن الصلاحية.</w:t>
              <w:br/>
              <w:t>• طلب تصحيح فوري لملاحظة حرجة.</w:t>
              <w:br/>
              <w:t>• تصعيد مقاول أو نشاط عالي المخاطر.</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يجوز ضمن الصلاحية</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إصابة أو حادث أو Near Miss عالي الإمكانات.</w:t>
              <w:br/>
              <w:t>• عمل عالي الخطورة دون PTW/عزل/حواجز صحيحة.</w:t>
              <w:br/>
              <w:t>• تكرار مخالفة حرجة من شخص أو مقاول.</w:t>
              <w:br/>
              <w:t>• ضغط إداري للاستمرار رغم خطر وشيك.</w:t>
              <w:br/>
              <w:t>• تغيير في طريقة العمل يزيد المخاطر دون تقييم.</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يتطلب اعتمادًا/تصعيدًا</w:t>
            </w:r>
          </w:p>
        </w:tc>
      </w:tr>
    </w:tbl>
    <w:p>
      <w:pPr>
        <w:pStyle w:val="Heading1"/>
        <w:jc w:val="right"/>
        <w:bidi w:val="1"/>
      </w:pPr>
      <w:r/>
      <w:r>
        <w:rPr>
          <w:rFonts w:ascii="DejaVu Sans" w:hAnsi="DejaVu Sans" w:cs="DejaVu Sans" w:eastAsia="DejaVu Sans"/>
          <w:b/>
          <w:color w:val="087F5B"/>
          <w:sz w:val="31"/>
          <w:lang w:val="ar-SA" w:bidi="ar-SA"/>
        </w:rPr>
        <w:t>11. العلاقات الوظيفية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4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طبيعة العلاقة</w:t>
            </w:r>
          </w:p>
        </w:tc>
        <w:tc>
          <w:tcPr>
            <w:tcW w:type="dxa" w:w="28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الجهة / الطرف</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التفتيش والتوعية وتصحيح المخاطر.</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العاملون والمشرفون</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متطلبات HSE والالتزام.</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المقاولون</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الأولويات والتصعيد.</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مدير الموقع/التشغيل</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الاستجابة والتمارين.</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الطوارئ/الأمن</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التدريب والتحقيقات حسب الحاجة.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الموارد البشرية/الإدارة</w:t>
            </w:r>
          </w:p>
        </w:tc>
      </w:tr>
    </w:tbl>
    <w:p>
      <w:pPr>
        <w:pStyle w:val="Heading1"/>
        <w:jc w:val="right"/>
        <w:bidi w:val="1"/>
      </w:pPr>
      <w:r/>
      <w:r>
        <w:rPr>
          <w:rFonts w:ascii="DejaVu Sans" w:hAnsi="DejaVu Sans" w:cs="DejaVu Sans" w:eastAsia="DejaVu Sans"/>
          <w:b/>
          <w:color w:val="087F5B"/>
          <w:sz w:val="31"/>
          <w:lang w:val="ar-SA" w:bidi="ar-SA"/>
        </w:rPr>
        <w:t>12. حدود الدور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يوقع تصريحًا دون تحقق فعلي من الشروط التي تقع ضمن دوره.</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يخفي Near Miss لتجميل المؤشرات.</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يسمح للإنتاج أو الجدول بتجاوز خطر وشيك.</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يغلق إجراءً تصحيحيًا بالصورة فقط إذا لم تعالج السبب.</w:t>
      </w:r>
    </w:p>
    <w:p>
      <w:pPr>
        <w:pStyle w:val="Heading1"/>
        <w:jc w:val="right"/>
        <w:bidi w:val="1"/>
      </w:pPr>
      <w:r/>
      <w:r>
        <w:rPr>
          <w:rFonts w:ascii="DejaVu Sans" w:hAnsi="DejaVu Sans" w:cs="DejaVu Sans" w:eastAsia="DejaVu Sans"/>
          <w:b/>
          <w:color w:val="087F5B"/>
          <w:sz w:val="31"/>
          <w:lang w:val="ar-SA" w:bidi="ar-SA"/>
        </w:rPr>
        <w:t>13. متى يجب التصعيد فورًا؟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تكرار الملاحظة نفسها بعد الإغلاق.</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Near Misses لا يبلغ عنها رغم مؤشرات واضحة.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تصاريح عمل كثيرة بنفس الصياغة دون تقييم فعلي.</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عمال جدد يبدأون قبل Induction المطلوب.</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تجاوزات عزل/عمل على ارتفاع/أماكن محصورة أو رفع حسب نشاط الموقع.</w:t>
      </w:r>
    </w:p>
    <w:p>
      <w:pPr>
        <w:pStyle w:val="Heading1"/>
        <w:jc w:val="right"/>
        <w:bidi w:val="1"/>
      </w:pPr>
      <w:r/>
      <w:r>
        <w:rPr>
          <w:rFonts w:ascii="DejaVu Sans" w:hAnsi="DejaVu Sans" w:cs="DejaVu Sans" w:eastAsia="DejaVu Sans"/>
          <w:b/>
          <w:color w:val="087F5B"/>
          <w:sz w:val="31"/>
          <w:lang w:val="ar-SA" w:bidi="ar-SA"/>
        </w:rPr>
        <w:t>14. مؤشرات الأداء الرئيسية KPIs</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المستهدف الاسترشادي</w:t>
            </w:r>
          </w:p>
        </w:tc>
        <w:tc>
          <w:tcPr>
            <w:tcW w:type="dxa" w:w="453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طريقة القياس</w:t>
            </w:r>
          </w:p>
        </w:tc>
        <w:tc>
          <w:tcPr>
            <w:tcW w:type="dxa" w:w="280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المؤشر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95%</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إجراءات HSE المغلقة في الموعد</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Action Closure</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الملاحظات المتكررة بعد إغلاق سابق</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Repeat Findings</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عينات التصاريح المطابقة فعليًا</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PTW Compliance</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الجولات المنفذة مقابل الخطة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Inspection Completion</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الفئات المطلوبة المكتملة قبل العمل</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Training/Induction</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الحوادث المبلغ عنها ضمن المدة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Incident Reporting Timeliness</w:t>
            </w:r>
          </w:p>
        </w:tc>
      </w:tr>
    </w:tbl>
    <w:p>
      <w:pPr>
        <w:spacing w:after="100" w:line="264" w:lineRule="auto"/>
        <w:jc w:val="right"/>
        <w:bidi w:val="1"/>
      </w:pPr>
      <w:r>
        <w:rPr>
          <w:rFonts w:ascii="DejaVu Sans" w:hAnsi="DejaVu Sans" w:cs="DejaVu Sans" w:eastAsia="DejaVu Sans"/>
          <w:b w:val="0"/>
          <w:color w:val="667085"/>
          <w:sz w:val="17"/>
          <w:lang w:val="ar-SA" w:bidi="ar-SA"/>
        </w:rPr>
        <w:t>المستهدفات استرشادية؛ تعتمد الأهداف النهائية وفق حجم المنشأة ومستوى الوظيفة واتفاقيات مستوى الخدمة الداخلية.</w:t>
      </w:r>
    </w:p>
    <w:p>
      <w:pPr>
        <w:pStyle w:val="Heading1"/>
        <w:jc w:val="right"/>
        <w:bidi w:val="1"/>
      </w:pPr>
      <w:r/>
      <w:r>
        <w:rPr>
          <w:rFonts w:ascii="DejaVu Sans" w:hAnsi="DejaVu Sans" w:cs="DejaVu Sans" w:eastAsia="DejaVu Sans"/>
          <w:b/>
          <w:color w:val="087F5B"/>
          <w:sz w:val="31"/>
          <w:lang w:val="ar-SA" w:bidi="ar-SA"/>
        </w:rPr>
        <w:t>15. المخاطر والضوابط المرتبطة بالدور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489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الضابط المقترح</w:t>
            </w:r>
          </w:p>
        </w:tc>
        <w:tc>
          <w:tcPr>
            <w:tcW w:type="dxa" w:w="446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الخطر</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ضوابط حرجة وStop Work وتصعيد.</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حادث جسيم</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تحقق ميداني وعينات مفاجئة.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سلامة ورقية</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ثقافة Near Miss وقنوات واضحة.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عدم الإبلاغ</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Verification of Effectiveness بعد التصحيح.</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إغلاق صوري</w:t>
            </w:r>
          </w:p>
        </w:tc>
      </w:tr>
    </w:tbl>
    <w:p>
      <w:pPr>
        <w:pStyle w:val="Heading1"/>
        <w:jc w:val="right"/>
        <w:bidi w:val="1"/>
      </w:pPr>
      <w:r/>
      <w:r>
        <w:rPr>
          <w:rFonts w:ascii="DejaVu Sans" w:hAnsi="DejaVu Sans" w:cs="DejaVu Sans" w:eastAsia="DejaVu Sans"/>
          <w:b/>
          <w:color w:val="087F5B"/>
          <w:sz w:val="31"/>
          <w:lang w:val="ar-SA" w:bidi="ar-SA"/>
        </w:rPr>
        <w:t>16. متطلبات أول 90 يومًا</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2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216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الفترة</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فهم مخاطر الموقع وخطة HSE وPTW والطوارئ ومسارات الإبلاغ.</w:t>
              <w:br/>
              <w:t>• تنفيذ جولات مشتركة ومراجعة الحوادث والملاحظات السابقة.</w:t>
              <w:br/>
              <w:t>• التعرف على المقاولين والأنشطة عالية المخاطر.</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أول 30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إدارة خطة تفتيش ونطاق PTW باستقلالية.</w:t>
              <w:br/>
              <w:t>• تنفيذ توعية مبنية على ملاحظات فعلية.</w:t>
              <w:br/>
              <w:t>• دعم تحقيق ومتابعة إجراءات حتى التحقق.</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31-60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خفض تكرار ملاحظة حرجة أو رفع نسبة الإغلاق.</w:t>
              <w:br/>
              <w:t>• تقديم تحليل اتجاه أدى إلى إجراء وقائي.</w:t>
              <w:br/>
              <w:t>• إثبات تغطية فعالة للأنشطة عالية المخاطر في نطاقه.</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61-90 يومًا</w:t>
            </w:r>
          </w:p>
        </w:tc>
      </w:tr>
    </w:tbl>
    <w:p>
      <w:pPr>
        <w:pStyle w:val="Heading1"/>
        <w:jc w:val="right"/>
        <w:bidi w:val="1"/>
      </w:pPr>
      <w:r/>
      <w:r>
        <w:rPr>
          <w:rFonts w:ascii="DejaVu Sans" w:hAnsi="DejaVu Sans" w:cs="DejaVu Sans" w:eastAsia="DejaVu Sans"/>
          <w:b/>
          <w:color w:val="087F5B"/>
          <w:sz w:val="31"/>
          <w:lang w:val="ar-SA" w:bidi="ar-SA"/>
        </w:rPr>
        <w:t>17. المسار المهني والاستمرارية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مراقب سلامة / مساعد HSE / فني سلامة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سابقة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سلامة أول / مشرف HSE / مدير سلامة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تطور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[يحدد البديل وفق خطة الاستمرارية]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بديل الوظيفة عند الغياب</w:t>
            </w:r>
          </w:p>
        </w:tc>
      </w:tr>
    </w:tbl>
    <w:p>
      <w:pPr>
        <w:pStyle w:val="Heading1"/>
        <w:jc w:val="right"/>
        <w:bidi w:val="1"/>
      </w:pPr>
      <w:r/>
      <w:r>
        <w:rPr>
          <w:rFonts w:ascii="DejaVu Sans" w:hAnsi="DejaVu Sans" w:cs="DejaVu Sans" w:eastAsia="DejaVu Sans"/>
          <w:b/>
          <w:color w:val="087F5B"/>
          <w:sz w:val="31"/>
          <w:lang w:val="ar-SA" w:bidi="ar-SA"/>
        </w:rPr>
        <w:t>18. ظروف ومتطلبات العمل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عمل ميداني طويل نسبيًا وفي ظروف موقع متغيرة.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يتطلب معدات وقاية شخصية والتعامل مع بيئات تشغيلية.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قد يشمل ورديات أو أعمال ليلية/توقفات.</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يتطلب الحزم والقدرة على التصعيد حتى تحت الضغط.</w:t>
      </w:r>
    </w:p>
    <w:p>
      <w:pPr>
        <w:pStyle w:val="Heading1"/>
        <w:jc w:val="right"/>
        <w:bidi w:val="1"/>
      </w:pPr>
      <w:r/>
      <w:r>
        <w:rPr>
          <w:rFonts w:ascii="DejaVu Sans" w:hAnsi="DejaVu Sans" w:cs="DejaVu Sans" w:eastAsia="DejaVu Sans"/>
          <w:b/>
          <w:color w:val="087F5B"/>
          <w:sz w:val="31"/>
          <w:lang w:val="ar-SA" w:bidi="ar-SA"/>
        </w:rPr>
        <w:t>19. قائمة التخصيص قبل الاعتماد</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تأكيد المسمى والدرجة والعائلة الوظيفية وموقع الوظيفة في الهيكل.</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التحقق من أن المسؤوليات تعكس العمل الفعلي ولا تتداخل جوهريًا مع وظيفة أخرى.</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نطاق الأثر: العملاء/المعاملات/المشاريع/الإدارات/المواقع بحسب الدور.</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الصلاحيات وحدود القرار والتصعيد وفق مصفوفة الصلاحيات.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المؤهل والخبرة لتجنب اشتراطات أعلى من الحاجة الفعلية.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اعتماد المهارات والكفاءات ومستويات الإتقان قبل الإعلان أو التقييم.</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تحويل KPIs الاسترشادية إلى مستهدفات قابلة للقياس.</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ظروف العمل واللغة والسفر والمتطلبات المهنية الخاصة.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الوصف مع المدير المباشر والموارد البشرية وصاحب الصلاحية.</w:t>
      </w:r>
    </w:p>
    <w:p>
      <w:pPr>
        <w:pStyle w:val="Heading1"/>
        <w:jc w:val="right"/>
        <w:bidi w:val="1"/>
      </w:pPr>
      <w:r/>
      <w:r>
        <w:rPr>
          <w:rFonts w:ascii="DejaVu Sans" w:hAnsi="DejaVu Sans" w:cs="DejaVu Sans" w:eastAsia="DejaVu Sans"/>
          <w:b/>
          <w:color w:val="087F5B"/>
          <w:sz w:val="31"/>
          <w:lang w:val="ar-SA" w:bidi="ar-SA"/>
        </w:rPr>
        <w:t>20. سجل الاعتماد</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482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الاسم / المسمى</w:t>
            </w:r>
          </w:p>
        </w:tc>
        <w:tc>
          <w:tcPr>
            <w:tcW w:type="dxa" w:w="252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الإجراء</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أعد الوصف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راجعه المدير المباشر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راجعته الموارد البشرية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اعتمده صاحب الصلاحية</w:t>
            </w:r>
          </w:p>
        </w:tc>
      </w:tr>
    </w:tbl>
    <w:p>
      <w:pPr>
        <w:pStyle w:val="Heading1"/>
        <w:jc w:val="right"/>
        <w:bidi w:val="1"/>
      </w:pPr>
      <w:r/>
      <w:r>
        <w:rPr>
          <w:rFonts w:ascii="DejaVu Sans" w:hAnsi="DejaVu Sans" w:cs="DejaVu Sans" w:eastAsia="DejaVu Sans"/>
          <w:b/>
          <w:color w:val="087F5B"/>
          <w:sz w:val="31"/>
          <w:lang w:val="ar-SA" w:bidi="ar-SA"/>
        </w:rPr>
        <w:t>21. سجل التعديلات</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59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وصف التعديل</w:t>
            </w:r>
          </w:p>
        </w:tc>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144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الإصدار</w:t>
            </w:r>
          </w:p>
        </w:tc>
      </w:tr>
      <w:tr>
        <w:tc>
          <w:tcPr>
            <w:tcW w:type="dxa" w:w="59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[وصف التعديل]</w:t>
            </w:r>
          </w:p>
        </w:tc>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144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مرجعيات التخصيص: </w:t>
            </w:r>
            <w:r>
              <w:rPr>
                <w:rFonts w:ascii="DejaVu Sans" w:hAnsi="DejaVu Sans" w:cs="DejaVu Sans" w:eastAsia="DejaVu Sans"/>
                <w:b w:val="0"/>
                <w:color w:val="1F2937"/>
                <w:sz w:val="19"/>
                <w:lang w:val="ar-SA" w:bidi="ar-SA"/>
              </w:rPr>
              <w:t>الهيكل التنظيمي، معمارية الوظائف والدرجات، مصفوفة الصلاحيات، السياسات والإجراءات الداخلية، المتطلبات المهنية، والأنظمة واللوائح ذات العلاقة بحسب ما ينطبق.</w:t>
            </w:r>
          </w:p>
        </w:tc>
      </w:tr>
    </w:tbl>
    <w:p>
      <w:pPr>
        <w:spacing w:after="0"/>
      </w:pPr>
    </w:p>
    <w:sectPr w:rsidR="00FC693F" w:rsidRPr="0006063C" w:rsidSect="00034616">
      <w:headerReference w:type="default" r:id="rId9"/>
      <w:footerReference w:type="default" r:id="rId10"/>
      <w:pgSz w:w="12240" w:h="15840"/>
      <w:pgMar w:top="1080" w:right="1224" w:bottom="1080" w:left="1224"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val="1"/>
    </w:pPr>
    <w:r/>
    <w:r>
      <w:rPr>
        <w:rFonts w:ascii="DejaVu Sans" w:hAnsi="DejaVu Sans" w:cs="DejaVu Sans" w:eastAsia="DejaVu Sans"/>
        <w:b w:val="0"/>
        <w:color w:val="667085"/>
        <w:sz w:val="18"/>
        <w:lang w:val="ar-SA" w:bidi="ar-SA"/>
      </w:rPr>
      <w:t xml:space="preserve">صفحة </w:t>
    </w:r>
    <w:r>
      <w:rPr>
        <w:rFonts w:ascii="DejaVu Sans" w:hAnsi="DejaVu Sans" w:cs="DejaVu Sans" w:eastAsia="DejaVu Sans"/>
        <w:b w:val="0"/>
        <w:color w:val="667085"/>
        <w:sz w:val="18"/>
        <w:lang w:val="ar-SA" w:bidi="ar-SA"/>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bidi w:val="1"/>
    </w:pPr>
    <w:r/>
    <w:r>
      <w:rPr>
        <w:rFonts w:ascii="DejaVu Sans" w:hAnsi="DejaVu Sans" w:cs="DejaVu Sans" w:eastAsia="DejaVu Sans"/>
        <w:b w:val="0"/>
        <w:color w:val="087F5B"/>
        <w:sz w:val="18"/>
        <w:lang w:val="ar-SA" w:bidi="ar-SA"/>
      </w:rPr>
      <w:t>مجد | نموذج وصف وظيفي | مسؤول سلامة</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jc w:val="right"/>
    </w:pPr>
    <w:rPr>
      <w:rFonts w:ascii="DejaVu Sans" w:hAnsi="DejaVu Sans"/>
      <w:color w:val="1F2937"/>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100"/>
      <w:jc w:val="right"/>
      <w:outlineLvl w:val="0"/>
    </w:pPr>
    <w:rPr>
      <w:rFonts w:asciiTheme="majorHAnsi" w:eastAsiaTheme="majorEastAsia" w:hAnsiTheme="majorHAnsi" w:cstheme="majorBidi" w:ascii="DejaVu Sans" w:hAnsi="DejaVu Sans"/>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jc w:val="right"/>
      <w:outlineLvl w:val="1"/>
    </w:pPr>
    <w:rPr>
      <w:rFonts w:asciiTheme="majorHAnsi" w:eastAsiaTheme="majorEastAsia" w:hAnsiTheme="majorHAnsi" w:cstheme="majorBidi" w:ascii="DejaVu Sans" w:hAnsi="DejaVu Sans"/>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