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after="160"/>
        <w:jc w:val="center"/>
        <w:bidi w:val="1"/>
      </w:pPr>
      <w:r>
        <w:rPr>
          <w:rFonts w:ascii="DejaVu Sans" w:hAnsi="DejaVu Sans" w:cs="DejaVu Sans" w:eastAsia="DejaVu Sans"/>
          <w:b/>
          <w:color w:val="087F5B"/>
          <w:sz w:val="24"/>
          <w:lang w:val="ar-SA" w:bidi="ar-SA"/>
        </w:rPr>
        <w:t>نموذج الأوصاف الوظيفية</w:t>
      </w:r>
    </w:p>
    <w:p>
      <w:pPr>
        <w:spacing w:after="40"/>
        <w:jc w:val="center"/>
        <w:bidi w:val="1"/>
      </w:pPr>
      <w:r>
        <w:rPr>
          <w:rFonts w:ascii="DejaVu Sans" w:hAnsi="DejaVu Sans" w:cs="DejaVu Sans" w:eastAsia="DejaVu Sans"/>
          <w:b/>
          <w:color w:val="17243A"/>
          <w:sz w:val="36"/>
          <w:lang w:val="ar-SA" w:bidi="ar-SA"/>
        </w:rPr>
        <w:t>أخصائي إدارة أداء</w:t>
      </w:r>
    </w:p>
    <w:p>
      <w:pPr>
        <w:spacing w:after="40"/>
        <w:jc w:val="center"/>
        <w:bidi w:val="1"/>
      </w:pPr>
      <w:r>
        <w:rPr>
          <w:rFonts w:ascii="DejaVu Sans" w:hAnsi="DejaVu Sans" w:cs="DejaVu Sans" w:eastAsia="DejaVu Sans"/>
          <w:b w:val="0"/>
          <w:color w:val="667085"/>
          <w:sz w:val="21"/>
          <w:lang w:val="ar-SA" w:bidi="ar-SA"/>
        </w:rPr>
        <w:t>Performance Management Specialist</w:t>
      </w:r>
    </w:p>
    <w:p>
      <w:pPr>
        <w:spacing w:after="280"/>
        <w:jc w:val="center"/>
        <w:bidi w:val="1"/>
      </w:pPr>
      <w:r>
        <w:rPr>
          <w:rFonts w:ascii="DejaVu Sans" w:hAnsi="DejaVu Sans" w:cs="DejaVu Sans" w:eastAsia="DejaVu Sans"/>
          <w:b w:val="0"/>
          <w:color w:val="667085"/>
          <w:sz w:val="20"/>
          <w:lang w:val="ar-SA" w:bidi="ar-SA"/>
        </w:rPr>
        <w:t>قالب استرشادي عام قابل للتخصيص للمنشآت في المملكة العربية السعودية</w:t>
      </w:r>
    </w:p>
    <w:tbl>
      <w:tblPr>
        <w:tblStyle w:val="TableGrid"/>
        <w:tblW w:type="auto" w:w="0"/>
        <w:jc w:val="center"/>
        <w:tblLook w:firstColumn="1" w:firstRow="1" w:lastColumn="0" w:lastRow="0" w:noHBand="0" w:noVBand="1" w:val="04A0"/>
      </w:tblPr>
      <w:tblGrid>
        <w:gridCol w:w="2448"/>
        <w:gridCol w:w="2448"/>
        <w:gridCol w:w="2448"/>
        <w:gridCol w:w="2448"/>
      </w:tblGrid>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HR-JD-PM-009</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رمز الوثيقة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[اسم المنشأة]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اسم المنشأة</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تاريخ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[1.0]</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الإصدار</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[صاحب الصلاحية]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جهة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إدارة الموارد البشرية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مالك الوصف</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المراجعة القادمة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سنويًا أو عند تغير نطاق الوظيفة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دورية المراجعة</w:t>
            </w:r>
          </w:p>
        </w:tc>
      </w:tr>
    </w:tbl>
    <w:p>
      <w:pPr>
        <w:spacing w:after="0"/>
      </w:pPr>
    </w:p>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طريقة الاستخدام: </w:t>
            </w:r>
            <w:r>
              <w:rPr>
                <w:rFonts w:ascii="DejaVu Sans" w:hAnsi="DejaVu Sans" w:cs="DejaVu Sans" w:eastAsia="DejaVu Sans"/>
                <w:b w:val="0"/>
                <w:color w:val="1F2937"/>
                <w:sz w:val="19"/>
                <w:lang w:val="ar-SA" w:bidi="ar-SA"/>
              </w:rPr>
              <w:t>استبدل النصوص الزرقاء بين الأقواس [ ] ببيانات المنشأة، وراجع نطاق المسؤوليات والمؤهلات والصلاحيات ومؤشرات الأداء قبل الاعتماد.</w:t>
            </w:r>
          </w:p>
        </w:tc>
      </w:tr>
    </w:tbl>
    <w:p>
      <w:pPr>
        <w:spacing w:after="0"/>
      </w:pPr>
    </w:p>
    <w:tbl>
      <w:tblPr>
        <w:tblW w:type="auto" w:w="0"/>
        <w:jc w:val="center"/>
        <w:tblLook w:firstColumn="1" w:firstRow="1" w:lastColumn="0" w:lastRow="0" w:noHBand="0" w:noVBand="1" w:val="04A0"/>
      </w:tblPr>
      <w:tblGrid>
        <w:gridCol w:w="9792"/>
      </w:tblGrid>
      <w:tr>
        <w:tc>
          <w:tcPr>
            <w:tcW w:type="dxa" w:w="9792"/>
            <w:shd w:fill="FFF4E5"/>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B26A00"/>
                <w:sz w:val="19"/>
                <w:lang w:val="ar-SA" w:bidi="ar-SA"/>
              </w:rPr>
              <w:t xml:space="preserve">تنبيه مهم: </w:t>
            </w:r>
            <w:r>
              <w:rPr>
                <w:rFonts w:ascii="DejaVu Sans" w:hAnsi="DejaVu Sans" w:cs="DejaVu Sans" w:eastAsia="DejaVu Sans"/>
                <w:b w:val="0"/>
                <w:color w:val="1F2937"/>
                <w:sz w:val="19"/>
                <w:lang w:val="ar-SA" w:bidi="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pPr>
        <w:spacing w:after="0"/>
      </w:pPr>
    </w:p>
    <w:p>
      <w:pPr>
        <w:jc w:val="center"/>
        <w:bidi w:val="1"/>
      </w:pPr>
      <w:r>
        <w:rPr>
          <w:rFonts w:ascii="DejaVu Sans" w:hAnsi="DejaVu Sans" w:cs="DejaVu Sans" w:eastAsia="DejaVu Sans"/>
          <w:b w:val="0"/>
          <w:color w:val="667085"/>
          <w:sz w:val="18"/>
          <w:lang w:val="ar-SA" w:bidi="ar-SA"/>
        </w:rPr>
        <w:t>إعداد استرشادي للنشر ضمن نماذج مجد</w:t>
      </w:r>
    </w:p>
    <w:p>
      <w:r>
        <w:br w:type="page"/>
      </w:r>
    </w:p>
    <w:p>
      <w:pPr>
        <w:pStyle w:val="Heading1"/>
        <w:jc w:val="right"/>
        <w:bidi w:val="1"/>
      </w:pPr>
      <w:r/>
      <w:r>
        <w:rPr>
          <w:rFonts w:ascii="DejaVu Sans" w:hAnsi="DejaVu Sans" w:cs="DejaVu Sans" w:eastAsia="DejaVu Sans"/>
          <w:b/>
          <w:color w:val="087F5B"/>
          <w:sz w:val="31"/>
          <w:lang w:val="ar-SA" w:bidi="ar-SA"/>
        </w:rPr>
        <w:t>1. بطاقة الوظيفة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البيانات</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إدارة أداء</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Performance Management Specialist</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بالإنجليزية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الموارد البشرية ورأس المال البشري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العائلة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إدارة الموارد البشرية / إدارة الأداء والمواهب</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الإدارة / القسم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[مدير إدارة الأداء / مدير المواهب]</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الرئيس المباشر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لا يوجد / [حسب الهيكل]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المرؤوسون المباشرون</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المستوى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[الدرجة المعتمدة]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الدرجة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[المدينة / الموقع]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موقع العمل</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[حضوري / هجين / عن بعد]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نمط العمل</w:t>
            </w:r>
          </w:p>
        </w:tc>
      </w:tr>
    </w:tbl>
    <w:p>
      <w:pPr>
        <w:pStyle w:val="Heading1"/>
        <w:jc w:val="right"/>
        <w:bidi w:val="1"/>
      </w:pPr>
      <w:r/>
      <w:r>
        <w:rPr>
          <w:rFonts w:ascii="DejaVu Sans" w:hAnsi="DejaVu Sans" w:cs="DejaVu Sans" w:eastAsia="DejaVu Sans"/>
          <w:b/>
          <w:color w:val="087F5B"/>
          <w:sz w:val="31"/>
          <w:lang w:val="ar-SA" w:bidi="ar-SA"/>
        </w:rPr>
        <w:t>2. الغرض من الوظيفة</w:t>
      </w:r>
    </w:p>
    <w:p>
      <w:pPr>
        <w:spacing w:after="100" w:line="264" w:lineRule="auto"/>
        <w:jc w:val="right"/>
        <w:bidi w:val="1"/>
      </w:pPr>
      <w:r>
        <w:rPr>
          <w:rFonts w:ascii="DejaVu Sans" w:hAnsi="DejaVu Sans" w:cs="DejaVu Sans" w:eastAsia="DejaVu Sans"/>
          <w:b w:val="0"/>
          <w:color w:val="1F2937"/>
          <w:sz w:val="20"/>
          <w:lang w:val="ar-SA" w:bidi="ar-SA"/>
        </w:rPr>
        <w:t>إدارة وتشغيل دورة الأداء المؤسسية من تحديد الأهداف والمتابعة والتقييم والمعايرة وحتى خطط تحسين الأداء، مع رفع جودة الأهداف والتقييمات والبيانات ودعم المديرين، بما يجعل الأداء أداة لاتخاذ القرار والتطوير لا مجرد إجراء سنوي.</w:t>
      </w:r>
    </w:p>
    <w:p>
      <w:pPr>
        <w:pStyle w:val="Heading1"/>
        <w:jc w:val="right"/>
        <w:bidi w:val="1"/>
      </w:pPr>
      <w:r/>
      <w:r>
        <w:rPr>
          <w:rFonts w:ascii="DejaVu Sans" w:hAnsi="DejaVu Sans" w:cs="DejaVu Sans" w:eastAsia="DejaVu Sans"/>
          <w:b/>
          <w:color w:val="087F5B"/>
          <w:sz w:val="31"/>
          <w:lang w:val="ar-SA" w:bidi="ar-SA"/>
        </w:rPr>
        <w:t>3. سياق الوظيفة ونطاق الأثر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البعد</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الموظفين/العمليات]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حجم النطاق المخدوم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الإدارات/المواقع]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النطاق التنظيمي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مباشر على جودة الأهداف وعدالة التقييم وقرارات المكافآت والتطوير والمواهب ومساءلة الأداء.</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طبيعة الأثر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يدير الدورة والنظام والإرشاد والتقارير ضمن المنهج المعتمد؛ التغييرات في السياسة والتقييمات الاستثنائية والقرارات المرتبطة بالعقوبات أو المكافآت تعتمد وفق الصلاحيات.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مستوى الاستقلالية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سري جدًا - تقييمات أداء ومعايرات وخطط تحسين ومعلومات مواهب</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حساسية المعلومات</w:t>
            </w:r>
          </w:p>
        </w:tc>
      </w:tr>
    </w:tbl>
    <w:p>
      <w:pPr>
        <w:pStyle w:val="Heading1"/>
        <w:jc w:val="right"/>
        <w:bidi w:val="1"/>
      </w:pPr>
      <w:r/>
      <w:r>
        <w:rPr>
          <w:rFonts w:ascii="DejaVu Sans" w:hAnsi="DejaVu Sans" w:cs="DejaVu Sans" w:eastAsia="DejaVu Sans"/>
          <w:b/>
          <w:color w:val="087F5B"/>
          <w:sz w:val="31"/>
          <w:lang w:val="ar-SA" w:bidi="ar-SA"/>
        </w:rPr>
        <w:t>4. النتائج الرئيسية المتوقعة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أهداف موظفين واضحة ومتصلة بأهداف الإدارات ويمكن تقييمها.</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إكمال دورة الأداء في مواعيدها مع جودة توثيق وملاحظات مناسبة.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معايرة تقلل التضخم أو التفاوت غير المبرر بين الإدارات.</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مديرون قادرون على إجراء محادثات أداء وتطوير أفضل.</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بيانات أداء موثوقة تستخدم في التطوير والمواهب والقرارات ذات العلاقة.</w:t>
      </w:r>
    </w:p>
    <w:p>
      <w:pPr>
        <w:pStyle w:val="Heading1"/>
        <w:jc w:val="right"/>
        <w:bidi w:val="1"/>
      </w:pPr>
      <w:r/>
      <w:r>
        <w:rPr>
          <w:rFonts w:ascii="DejaVu Sans" w:hAnsi="DejaVu Sans" w:cs="DejaVu Sans" w:eastAsia="DejaVu Sans"/>
          <w:b/>
          <w:color w:val="087F5B"/>
          <w:sz w:val="31"/>
          <w:lang w:val="ar-SA" w:bidi="ar-SA"/>
        </w:rPr>
        <w:t>5. المسؤوليات والمهام الرئيسية</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54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المهام والمسؤوليات</w:t>
            </w:r>
          </w:p>
        </w:tc>
        <w:tc>
          <w:tcPr>
            <w:tcW w:type="dxa" w:w="17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مجال المسؤولية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دورة أداء جاهزة ومنضبطة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إعداد التقويم والمراحل والأدوار والتواصل السنوي.</w:t>
              <w:br/>
              <w:t>• تحديث الأدلة والنماذج والأسئلة الشائعة ضمن المنهج المعتمد.</w:t>
              <w:br/>
              <w:t>• التنسيق مع مالك النظام لإعداد النماذج والصلاحيات.</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تصميم الدورة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أهداف قابلة للقياس</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دعم صياغة أهداف قابلة للقياس ومرتبطة بنتائج العمل.</w:t>
              <w:br/>
              <w:t>• مراجعة عينات الجودة وتحديد الأهداف العامة أو غير القابلة للتقييم.</w:t>
              <w:br/>
              <w:t>• توعية المديرين والموظفين بكيفية تحديد الأهداف.</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الأهداف</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متابعة أداء مستمرة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متابعة نقاط Check-in والمراجعة النصفية.</w:t>
              <w:br/>
              <w:t>• تحليل نسب الإكمال والمتأخرات والتصعيد.</w:t>
              <w:br/>
              <w:t>• تشجيع التوثيق المستمر بدل الاعتماد على نهاية السنة.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المتابعة والمراجعة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تقييمات مكتملة ومفسرة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إدارة مرحلة التقييم الذاتي وتقييم المدير.</w:t>
              <w:br/>
              <w:t>• مراجعة جودة المبررات والملاحظات في الحالات المطلوبة.</w:t>
              <w:br/>
              <w:t>• معالجة المشكلات التقنية والإجرائية قبل الإغلاق.</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التقييم</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نتائج أكثر اتساقًا وعدالة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إعداد بيانات المعايرة والتوزيعات والمقارنات.</w:t>
              <w:br/>
              <w:t>• تيسير جلسات المعايرة وتوثيق التغييرات ومبرراتها.</w:t>
              <w:br/>
              <w:t>• رصد التفاوتات غير المبررة بين الإدارات.</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المعايرة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PIP قابل للمتابعة والقرار</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دعم تصميم خطط تحسين أداء بأهداف ومدد ومتابعة واضحة.</w:t>
              <w:br/>
              <w:t>• متابعة نقاط المراجعة والتوثيق.</w:t>
              <w:br/>
              <w:t>• التنسيق مع علاقات الموظفين في الحالات الحساسة.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تحسين الأداء</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قرارات أداء مبنية على بيانات</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تحليل التوزيع والاتجاهات والارتباط بالمواهب والتطوير.</w:t>
              <w:br/>
              <w:t>• تحديد مشاكل جودة الأهداف أو تحيزات التقييم المحتملة.</w:t>
              <w:br/>
              <w:t>• اقتراح تحسينات للدورة والأدوات.</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التحليل والتحسين</w:t>
            </w:r>
          </w:p>
        </w:tc>
      </w:tr>
    </w:tbl>
    <w:p>
      <w:pPr>
        <w:pStyle w:val="Heading1"/>
        <w:jc w:val="right"/>
        <w:bidi w:val="1"/>
      </w:pPr>
      <w:r/>
      <w:r>
        <w:rPr>
          <w:rFonts w:ascii="DejaVu Sans" w:hAnsi="DejaVu Sans" w:cs="DejaVu Sans" w:eastAsia="DejaVu Sans"/>
          <w:b/>
          <w:color w:val="087F5B"/>
          <w:sz w:val="31"/>
          <w:lang w:val="ar-SA" w:bidi="ar-SA"/>
        </w:rPr>
        <w:t>6. توزيع المسؤوليات الاسترشادي</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الوزن المقترح</w:t>
            </w:r>
          </w:p>
        </w:tc>
        <w:tc>
          <w:tcPr>
            <w:tcW w:type="dxa" w:w="734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المجال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تشغيل دورة الأداء</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الأهداف والجودة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التقييم والمعايرة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PIP ودعم المديرين</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التحليل والتحسين</w:t>
            </w:r>
          </w:p>
        </w:tc>
      </w:tr>
    </w:tbl>
    <w:p>
      <w:pPr>
        <w:spacing w:after="0" w:line="264" w:lineRule="auto"/>
        <w:jc w:val="right"/>
        <w:bidi w:val="1"/>
      </w:pPr>
      <w:r>
        <w:rPr>
          <w:rFonts w:ascii="DejaVu Sans" w:hAnsi="DejaVu Sans" w:cs="DejaVu Sans" w:eastAsia="DejaVu Sans"/>
          <w:b w:val="0"/>
          <w:color w:val="667085"/>
          <w:sz w:val="18"/>
          <w:lang w:val="ar-SA" w:bidi="ar-SA"/>
        </w:rPr>
        <w:t>تعدل الأوزان قبل الاعتماد بما يعكس الواقع الفعلي للوظيفة، ويجب أن يكون مجموعها 100%.</w:t>
      </w:r>
    </w:p>
    <w:p>
      <w:pPr>
        <w:pStyle w:val="Heading1"/>
        <w:jc w:val="right"/>
        <w:bidi w:val="1"/>
      </w:pPr>
      <w:r/>
      <w:r>
        <w:rPr>
          <w:rFonts w:ascii="DejaVu Sans" w:hAnsi="DejaVu Sans" w:cs="DejaVu Sans" w:eastAsia="DejaVu Sans"/>
          <w:b/>
          <w:color w:val="087F5B"/>
          <w:sz w:val="31"/>
          <w:lang w:val="ar-SA" w:bidi="ar-SA"/>
        </w:rPr>
        <w:t>7. المؤهلات والخبرة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المتطلب</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بكالوريوس موارد بشرية أو إدارة أعمال أو إدارة عامة أو تخصص ذي صلة.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المؤهل العلمي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3-5 سنوات في إدارة الأداء أو المواهب أو HRBP أو HR Operations مع خبرة في دورات التقييم.</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الخبرة العملية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CIPD أو HRCI أو SHRM أو شهادة في Performance Management أو Coaching تعد ميزة إضافية.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الشهادات المهنية المفضلة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العربية ممتازة في التيسير والكتابة؛ الإنجليزية جيدة بحسب النظام والمواد المستخدمة.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اللغات</w:t>
            </w:r>
          </w:p>
        </w:tc>
      </w:tr>
    </w:tbl>
    <w:p>
      <w:pPr>
        <w:pStyle w:val="Heading1"/>
        <w:jc w:val="right"/>
        <w:bidi w:val="1"/>
      </w:pPr>
      <w:r/>
      <w:r>
        <w:rPr>
          <w:rFonts w:ascii="DejaVu Sans" w:hAnsi="DejaVu Sans" w:cs="DejaVu Sans" w:eastAsia="DejaVu Sans"/>
          <w:b/>
          <w:color w:val="087F5B"/>
          <w:sz w:val="31"/>
          <w:lang w:val="ar-SA" w:bidi="ar-SA"/>
        </w:rPr>
        <w:t>8. المعرفة والمهارات الفنية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مستوى الإتقان</w:t>
            </w:r>
          </w:p>
        </w:tc>
        <w:tc>
          <w:tcPr>
            <w:tcW w:type="dxa" w:w="71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المعرفة / المهارة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4</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Performance Cycle Management</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Goal Setting / KPIs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Calibration</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PIP Governance</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HRIS Performance Module</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People Analytics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Manager Enablement</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Policy &amp; Process Design</w:t>
            </w:r>
          </w:p>
        </w:tc>
      </w:tr>
    </w:tbl>
    <w:p>
      <w:pPr>
        <w:pStyle w:val="Heading1"/>
        <w:jc w:val="right"/>
        <w:bidi w:val="1"/>
      </w:pPr>
      <w:r/>
      <w:r>
        <w:rPr>
          <w:rFonts w:ascii="DejaVu Sans" w:hAnsi="DejaVu Sans" w:cs="DejaVu Sans" w:eastAsia="DejaVu Sans"/>
          <w:b/>
          <w:color w:val="087F5B"/>
          <w:sz w:val="31"/>
          <w:lang w:val="ar-SA" w:bidi="ar-SA"/>
        </w:rPr>
        <w:t>9. الكفاءات السلوكية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السلوك المتوقع</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الكفاءة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يركز على الأدلة والنتائج ويتجنب فرض توزيع غير مبرر.</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العدالة والموضوعية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يدير نقاشات المعايرة الصعبة دون الاستحواذ على قرار المدير.</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التيسير</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يتحدى الأهداف والتقييمات الغامضة بأسئلة محددة.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جودة الأسئلة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يميز بين ضعف الأداء ومشكلة هدف أو موارد أو إدارة.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الحكم المهني</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يبسط المنهج ويوضح أدوار المدير والموظف.</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التواصل</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يقرأ الأنماط والتباينات ولا يكتفي بنسبة الإكمال.</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التحليل</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مقياس الإتقان: </w:t>
            </w:r>
            <w:r>
              <w:rPr>
                <w:rFonts w:ascii="DejaVu Sans" w:hAnsi="DejaVu Sans" w:cs="DejaVu Sans" w:eastAsia="DejaVu Sans"/>
                <w:b w:val="0"/>
                <w:color w:val="1F2937"/>
                <w:sz w:val="19"/>
                <w:lang w:val="ar-SA" w:bidi="ar-SA"/>
              </w:rPr>
              <w:t>1 = معرفة أساسية، 2 = تطبيق مستقل، 3 = مستوى متقدم وتوجيه الآخرين، 4 = مرجعية/خبير.</w:t>
            </w:r>
          </w:p>
        </w:tc>
      </w:tr>
    </w:tbl>
    <w:p>
      <w:pPr>
        <w:spacing w:after="0"/>
      </w:pPr>
    </w:p>
    <w:p>
      <w:pPr>
        <w:pStyle w:val="Heading1"/>
        <w:jc w:val="right"/>
        <w:bidi w:val="1"/>
      </w:pPr>
      <w:r/>
      <w:r>
        <w:rPr>
          <w:rFonts w:ascii="DejaVu Sans" w:hAnsi="DejaVu Sans" w:cs="DejaVu Sans" w:eastAsia="DejaVu Sans"/>
          <w:b/>
          <w:color w:val="087F5B"/>
          <w:sz w:val="31"/>
          <w:lang w:val="ar-SA" w:bidi="ar-SA"/>
        </w:rPr>
        <w:t>10. الصلاحيات وحدود اتخاذ القرار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8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التفاصيل</w:t>
            </w:r>
          </w:p>
        </w:tc>
        <w:tc>
          <w:tcPr>
            <w:tcW w:type="dxa" w:w="237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نوع القرار</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إرجاع هدف أو تقييم غير مكتمل أو غير قابل للقياس ضمن قواعد الجودة.</w:t>
              <w:br/>
              <w:t>• تذكير وتصعيد التأخير وفق تقويم الدورة.</w:t>
              <w:br/>
              <w:t>• طلب مبرر أو دليل إضافي في حالات المعايرة المحددة.</w:t>
              <w:br/>
              <w:t>• إدارة النظام والتقارير ضمن الصلاحيات.</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يجوز ضمن الصلاحية</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تغيير تقييم نهائي دون مبرر أو خارج الحوكمة.</w:t>
              <w:br/>
              <w:t>• استخدام التقييم كأداة عقابية دون مسار أداء موثق.</w:t>
              <w:br/>
              <w:t>• PIP قد يقود إلى إجراء تأديبي أو إنهاء.</w:t>
              <w:br/>
              <w:t>• اختلاف كبير في توزيعات إدارة دون تفسير.</w:t>
              <w:br/>
              <w:t>• طلب كشف تقييمات أفراد لغير المخولين.</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يتطلب اعتمادًا/تصعيدًا</w:t>
            </w:r>
          </w:p>
        </w:tc>
      </w:tr>
    </w:tbl>
    <w:p>
      <w:pPr>
        <w:pStyle w:val="Heading1"/>
        <w:jc w:val="right"/>
        <w:bidi w:val="1"/>
      </w:pPr>
      <w:r/>
      <w:r>
        <w:rPr>
          <w:rFonts w:ascii="DejaVu Sans" w:hAnsi="DejaVu Sans" w:cs="DejaVu Sans" w:eastAsia="DejaVu Sans"/>
          <w:b/>
          <w:color w:val="087F5B"/>
          <w:sz w:val="31"/>
          <w:lang w:val="ar-SA" w:bidi="ar-SA"/>
        </w:rPr>
        <w:t>11. العلاقات الوظيفية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4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طبيعة العلاقة</w:t>
            </w:r>
          </w:p>
        </w:tc>
        <w:tc>
          <w:tcPr>
            <w:tcW w:type="dxa" w:w="28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الجهة / الطرف</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تحديد الأهداف والتقييم والمحادثات والتطوير.</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المديرون والموظفون</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دعم الإدارات ومراجعة الاتجاهات والحالات.</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HRBP</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حالات ضعف الأداء عالية الحساسية.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علاقات الموظفين</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تسليم النتائج المعتمدة عندما ترتبط بالمكافآت.</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التعويضات</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استخدام النتائج لتحديد الإمكانات والفجوات وخطط التطوير.</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المواهب والتطوير</w:t>
            </w:r>
          </w:p>
        </w:tc>
      </w:tr>
    </w:tbl>
    <w:p>
      <w:pPr>
        <w:pStyle w:val="Heading1"/>
        <w:jc w:val="right"/>
        <w:bidi w:val="1"/>
      </w:pPr>
      <w:r/>
      <w:r>
        <w:rPr>
          <w:rFonts w:ascii="DejaVu Sans" w:hAnsi="DejaVu Sans" w:cs="DejaVu Sans" w:eastAsia="DejaVu Sans"/>
          <w:b/>
          <w:color w:val="087F5B"/>
          <w:sz w:val="31"/>
          <w:lang w:val="ar-SA" w:bidi="ar-SA"/>
        </w:rPr>
        <w:t>12. حدود الدور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يقرر تقييم الموظف بدل المدير.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يفرض Bell Curve أو توزيعًا إجباريًا ما لم تكن سياسة معتمدة وصريحة.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يحول كل أداء منخفض إلى PIP قبل تشخيص السبب.</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يسمح بتعديل نتائج مقفلة خارج المسار المعتمد.</w:t>
      </w:r>
    </w:p>
    <w:p>
      <w:pPr>
        <w:pStyle w:val="Heading1"/>
        <w:jc w:val="right"/>
        <w:bidi w:val="1"/>
      </w:pPr>
      <w:r/>
      <w:r>
        <w:rPr>
          <w:rFonts w:ascii="DejaVu Sans" w:hAnsi="DejaVu Sans" w:cs="DejaVu Sans" w:eastAsia="DejaVu Sans"/>
          <w:b/>
          <w:color w:val="087F5B"/>
          <w:sz w:val="31"/>
          <w:lang w:val="ar-SA" w:bidi="ar-SA"/>
        </w:rPr>
        <w:t>13. متى يجب التصعيد فورًا؟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أهداف موظف كلها أنشطة وليست نتائج.</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جميع موظفي إدارة حصلوا على التقييم الأعلى بلا أدلة كافية.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مدير لم يقدم ملاحظات طوال السنة ثم يقترح تقييمًا منخفضًا مفاجئًا.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PIP بأهداف غامضة أو مدة غير واقعية.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نتائج معدلة بعد المعايرة دون سجل واضح.</w:t>
      </w:r>
    </w:p>
    <w:p>
      <w:pPr>
        <w:pStyle w:val="Heading1"/>
        <w:jc w:val="right"/>
        <w:bidi w:val="1"/>
      </w:pPr>
      <w:r/>
      <w:r>
        <w:rPr>
          <w:rFonts w:ascii="DejaVu Sans" w:hAnsi="DejaVu Sans" w:cs="DejaVu Sans" w:eastAsia="DejaVu Sans"/>
          <w:b/>
          <w:color w:val="087F5B"/>
          <w:sz w:val="31"/>
          <w:lang w:val="ar-SA" w:bidi="ar-SA"/>
        </w:rPr>
        <w:t>14. مؤشرات الأداء الرئيسية KPIs</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المستهدف الاسترشادي</w:t>
            </w:r>
          </w:p>
        </w:tc>
        <w:tc>
          <w:tcPr>
            <w:tcW w:type="dxa" w:w="453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طريقة القياس</w:t>
            </w:r>
          </w:p>
        </w:tc>
        <w:tc>
          <w:tcPr>
            <w:tcW w:type="dxa" w:w="280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المؤشر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98%</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التقييمات المكتملة قبل الإغلاق</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إكمال الدورة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عينات تحقق معايير SMART أو المنهج المعتمد</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جودة الأهداف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الجلسات والنتائج ضمن التقويم</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زمن إغلاق المعايرة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الخطط المستوفية للمتطلبات والمتابعة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اكتمال PIP</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الحالات المتجاوزة للموعد</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تأخر المديرين</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وضوح وسهولة العملية والدعم</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رضا المديرين</w:t>
            </w:r>
          </w:p>
        </w:tc>
      </w:tr>
    </w:tbl>
    <w:p>
      <w:pPr>
        <w:spacing w:after="100" w:line="264" w:lineRule="auto"/>
        <w:jc w:val="right"/>
        <w:bidi w:val="1"/>
      </w:pPr>
      <w:r>
        <w:rPr>
          <w:rFonts w:ascii="DejaVu Sans" w:hAnsi="DejaVu Sans" w:cs="DejaVu Sans" w:eastAsia="DejaVu Sans"/>
          <w:b w:val="0"/>
          <w:color w:val="667085"/>
          <w:sz w:val="17"/>
          <w:lang w:val="ar-SA" w:bidi="ar-SA"/>
        </w:rPr>
        <w:t>المستهدفات استرشادية؛ تعتمد الأهداف النهائية وفق حجم المنشأة ومستوى الوظيفة واتفاقيات مستوى الخدمة الداخلية.</w:t>
      </w:r>
    </w:p>
    <w:p>
      <w:pPr>
        <w:pStyle w:val="Heading1"/>
        <w:jc w:val="right"/>
        <w:bidi w:val="1"/>
      </w:pPr>
      <w:r/>
      <w:r>
        <w:rPr>
          <w:rFonts w:ascii="DejaVu Sans" w:hAnsi="DejaVu Sans" w:cs="DejaVu Sans" w:eastAsia="DejaVu Sans"/>
          <w:b/>
          <w:color w:val="087F5B"/>
          <w:sz w:val="31"/>
          <w:lang w:val="ar-SA" w:bidi="ar-SA"/>
        </w:rPr>
        <w:t>15. المخاطر والضوابط المرتبطة بالدور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489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الضابط المقترح</w:t>
            </w:r>
          </w:p>
        </w:tc>
        <w:tc>
          <w:tcPr>
            <w:tcW w:type="dxa" w:w="446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الخطر</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معايير وأدلة ومعايرة وتحليل تباينات.</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تقييمات متحيزة أو غير موثقة</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Check-ins وجودة أهداف ومتابعة مستمرة.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تحويل الدورة لإجراء شكلي</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Locking وسجل تغيير وصلاحيات معتمدة.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تعديل نتائج دون حوكمة</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قالب واضح ومراجعة HRBP أو ER للحالات الحساسة.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سوء استخدام PIP</w:t>
            </w:r>
          </w:p>
        </w:tc>
      </w:tr>
    </w:tbl>
    <w:p>
      <w:pPr>
        <w:pStyle w:val="Heading1"/>
        <w:jc w:val="right"/>
        <w:bidi w:val="1"/>
      </w:pPr>
      <w:r/>
      <w:r>
        <w:rPr>
          <w:rFonts w:ascii="DejaVu Sans" w:hAnsi="DejaVu Sans" w:cs="DejaVu Sans" w:eastAsia="DejaVu Sans"/>
          <w:b/>
          <w:color w:val="087F5B"/>
          <w:sz w:val="31"/>
          <w:lang w:val="ar-SA" w:bidi="ar-SA"/>
        </w:rPr>
        <w:t>16. متطلبات أول 90 يومًا</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2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216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الفترة</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فهم فلسفة الأداء والتقويم والمنهج والنظام والصلاحيات.</w:t>
              <w:br/>
              <w:t>• مراجعة نتائج الدورة السابقة والتوزيعات والمشكلات.</w:t>
              <w:br/>
              <w:t>• التعرف على علاقة الأداء بالمكافآت والمواهب والتطوير.</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أول 30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إدارة مرحلة من دورة الأداء أو حملة أهداف أو مراجعة.</w:t>
              <w:br/>
              <w:t>• تنفيذ مراجعة جودة عينات الأهداف والتقييمات.</w:t>
              <w:br/>
              <w:t>• إعداد Dashboard للإكمال والتوزيع والتأخير.</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31-60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امتلاك دورة أو قطاع من النظام والتواصل والتقارير.</w:t>
              <w:br/>
              <w:t>• تيسير جلسة معايرة أو دعمها بكفاءة.</w:t>
              <w:br/>
              <w:t>• اقتراح تحسين مبني على بيانات الدورة السابقة أو الحالية.</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61-90 يومًا</w:t>
            </w:r>
          </w:p>
        </w:tc>
      </w:tr>
    </w:tbl>
    <w:p>
      <w:pPr>
        <w:pStyle w:val="Heading1"/>
        <w:jc w:val="right"/>
        <w:bidi w:val="1"/>
      </w:pPr>
      <w:r/>
      <w:r>
        <w:rPr>
          <w:rFonts w:ascii="DejaVu Sans" w:hAnsi="DejaVu Sans" w:cs="DejaVu Sans" w:eastAsia="DejaVu Sans"/>
          <w:b/>
          <w:color w:val="087F5B"/>
          <w:sz w:val="31"/>
          <w:lang w:val="ar-SA" w:bidi="ar-SA"/>
        </w:rPr>
        <w:t>17. المسار المهني والاستمرارية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موارد بشرية / أخصائي مواهب / HRBP Coordinator</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سابقة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إدارة أداء أول / Talent Management Partner / Performance Manager</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تطور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[يحدد البديل وفق خطة الاستمرارية]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بديل الوظيفة عند الغياب</w:t>
            </w:r>
          </w:p>
        </w:tc>
      </w:tr>
    </w:tbl>
    <w:p>
      <w:pPr>
        <w:pStyle w:val="Heading1"/>
        <w:jc w:val="right"/>
        <w:bidi w:val="1"/>
      </w:pPr>
      <w:r/>
      <w:r>
        <w:rPr>
          <w:rFonts w:ascii="DejaVu Sans" w:hAnsi="DejaVu Sans" w:cs="DejaVu Sans" w:eastAsia="DejaVu Sans"/>
          <w:b/>
          <w:color w:val="087F5B"/>
          <w:sz w:val="31"/>
          <w:lang w:val="ar-SA" w:bidi="ar-SA"/>
        </w:rPr>
        <w:t>18. ظروف ومتطلبات العمل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فترات ضغط عالية حول إغلاق الأهداف والتقييم والمعايرة.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تعامل مع معلومات أداء سرية قد تؤثر على قرارات أخرى.</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اجتماعات وتيسير مكثف مع المديرين.</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السفر: [حسب مواقع المنشأة].</w:t>
      </w:r>
    </w:p>
    <w:p>
      <w:pPr>
        <w:pStyle w:val="Heading1"/>
        <w:jc w:val="right"/>
        <w:bidi w:val="1"/>
      </w:pPr>
      <w:r/>
      <w:r>
        <w:rPr>
          <w:rFonts w:ascii="DejaVu Sans" w:hAnsi="DejaVu Sans" w:cs="DejaVu Sans" w:eastAsia="DejaVu Sans"/>
          <w:b/>
          <w:color w:val="087F5B"/>
          <w:sz w:val="31"/>
          <w:lang w:val="ar-SA" w:bidi="ar-SA"/>
        </w:rPr>
        <w:t>19. قائمة التخصيص قبل الاعتماد</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تأكيد المسمى والدرجة والعائلة الوظيفية وموقع الوظيفة في الهيكل.</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التحقق من أن المسؤوليات تعكس العمل الفعلي ولا تتداخل جوهريًا مع وظيفة أخرى.</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نطاق الأثر: الموظفون/الإدارات/المواقع/حجم العمليات.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الصلاحيات وحدود القرار والتصعيد وفق مصفوفة الصلاحيات.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المؤهل والخبرة لتجنب اشتراطات أعلى من الحاجة الفعلية.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اعتماد المهارات والكفاءات ومستويات الإتقان قبل الإعلان أو التقييم.</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تحويل KPIs الاسترشادية إلى مستهدفات قابلة للقياس.</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ظروف العمل واللغة والسفر والمتطلبات الخاصة.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الوصف مع المدير المباشر والموارد البشرية وصاحب الصلاحية.</w:t>
      </w:r>
    </w:p>
    <w:p>
      <w:pPr>
        <w:pStyle w:val="Heading1"/>
        <w:jc w:val="right"/>
        <w:bidi w:val="1"/>
      </w:pPr>
      <w:r/>
      <w:r>
        <w:rPr>
          <w:rFonts w:ascii="DejaVu Sans" w:hAnsi="DejaVu Sans" w:cs="DejaVu Sans" w:eastAsia="DejaVu Sans"/>
          <w:b/>
          <w:color w:val="087F5B"/>
          <w:sz w:val="31"/>
          <w:lang w:val="ar-SA" w:bidi="ar-SA"/>
        </w:rPr>
        <w:t>20. سجل الاعتماد</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482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الاسم / المسمى</w:t>
            </w:r>
          </w:p>
        </w:tc>
        <w:tc>
          <w:tcPr>
            <w:tcW w:type="dxa" w:w="252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الإجراء</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أعد الوصف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راجعه المدير المباشر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راجعته الموارد البشرية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اعتمده صاحب الصلاحية</w:t>
            </w:r>
          </w:p>
        </w:tc>
      </w:tr>
    </w:tbl>
    <w:p>
      <w:pPr>
        <w:pStyle w:val="Heading1"/>
        <w:jc w:val="right"/>
        <w:bidi w:val="1"/>
      </w:pPr>
      <w:r/>
      <w:r>
        <w:rPr>
          <w:rFonts w:ascii="DejaVu Sans" w:hAnsi="DejaVu Sans" w:cs="DejaVu Sans" w:eastAsia="DejaVu Sans"/>
          <w:b/>
          <w:color w:val="087F5B"/>
          <w:sz w:val="31"/>
          <w:lang w:val="ar-SA" w:bidi="ar-SA"/>
        </w:rPr>
        <w:t>21. سجل التعديلات</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59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وصف التعديل</w:t>
            </w:r>
          </w:p>
        </w:tc>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144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الإصدار</w:t>
            </w:r>
          </w:p>
        </w:tc>
      </w:tr>
      <w:tr>
        <w:tc>
          <w:tcPr>
            <w:tcW w:type="dxa" w:w="59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[وصف التعديل]</w:t>
            </w:r>
          </w:p>
        </w:tc>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144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مرجعيات التخصيص: </w:t>
            </w:r>
            <w:r>
              <w:rPr>
                <w:rFonts w:ascii="DejaVu Sans" w:hAnsi="DejaVu Sans" w:cs="DejaVu Sans" w:eastAsia="DejaVu Sans"/>
                <w:b w:val="0"/>
                <w:color w:val="1F2937"/>
                <w:sz w:val="19"/>
                <w:lang w:val="ar-SA" w:bidi="ar-SA"/>
              </w:rPr>
              <w:t>الهيكل التنظيمي، معمارية الوظائف والدرجات، مصفوفة الصلاحيات، سياسات الموارد البشرية، إجراءات العمل، ومتطلبات الأنظمة واللوائح ذات العلاقة بحسب ما ينطبق.</w:t>
            </w:r>
          </w:p>
        </w:tc>
      </w:tr>
    </w:tbl>
    <w:p>
      <w:pPr>
        <w:spacing w:after="0"/>
      </w:pPr>
    </w:p>
    <w:sectPr w:rsidR="00FC693F" w:rsidRPr="0006063C" w:rsidSect="00034616">
      <w:headerReference w:type="default" r:id="rId9"/>
      <w:footerReference w:type="default" r:id="rId10"/>
      <w:pgSz w:w="12240" w:h="15840"/>
      <w:pgMar w:top="1080" w:right="1224" w:bottom="1080" w:left="1224"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val="1"/>
    </w:pPr>
    <w:r/>
    <w:r>
      <w:rPr>
        <w:rFonts w:ascii="DejaVu Sans" w:hAnsi="DejaVu Sans" w:cs="DejaVu Sans" w:eastAsia="DejaVu Sans"/>
        <w:b w:val="0"/>
        <w:color w:val="667085"/>
        <w:sz w:val="18"/>
        <w:lang w:val="ar-SA" w:bidi="ar-SA"/>
      </w:rPr>
      <w:t xml:space="preserve">صفحة </w:t>
    </w:r>
    <w:r>
      <w:rPr>
        <w:rFonts w:ascii="DejaVu Sans" w:hAnsi="DejaVu Sans" w:cs="DejaVu Sans" w:eastAsia="DejaVu Sans"/>
        <w:b w:val="0"/>
        <w:color w:val="667085"/>
        <w:sz w:val="18"/>
        <w:lang w:val="ar-SA" w:bidi="ar-SA"/>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bidi w:val="1"/>
    </w:pPr>
    <w:r/>
    <w:r>
      <w:rPr>
        <w:rFonts w:ascii="DejaVu Sans" w:hAnsi="DejaVu Sans" w:cs="DejaVu Sans" w:eastAsia="DejaVu Sans"/>
        <w:b w:val="0"/>
        <w:color w:val="087F5B"/>
        <w:sz w:val="18"/>
        <w:lang w:val="ar-SA" w:bidi="ar-SA"/>
      </w:rPr>
      <w:t>مجد | نموذج وصف وظيفي | أخصائي إدارة أداء</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jc w:val="right"/>
    </w:pPr>
    <w:rPr>
      <w:rFonts w:ascii="DejaVu Sans" w:hAnsi="DejaVu Sans"/>
      <w:color w:val="1F2937"/>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100"/>
      <w:jc w:val="right"/>
      <w:outlineLvl w:val="0"/>
    </w:pPr>
    <w:rPr>
      <w:rFonts w:asciiTheme="majorHAnsi" w:eastAsiaTheme="majorEastAsia" w:hAnsiTheme="majorHAnsi" w:cstheme="majorBidi" w:ascii="DejaVu Sans" w:hAnsi="DejaVu Sans"/>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jc w:val="right"/>
      <w:outlineLvl w:val="1"/>
    </w:pPr>
    <w:rPr>
      <w:rFonts w:asciiTheme="majorHAnsi" w:eastAsiaTheme="majorEastAsia" w:hAnsiTheme="majorHAnsi" w:cstheme="majorBidi" w:ascii="DejaVu Sans" w:hAnsi="DejaVu Sans"/>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