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>
      <w:pPr>
        <w:spacing w:after="160"/>
        <w:jc w:val="center"/>
        <w:bidi w:val="1"/>
      </w:pPr>
      <w:r>
        <w:rPr>
          <w:rFonts w:ascii="DejaVu Sans" w:hAnsi="DejaVu Sans" w:cs="DejaVu Sans" w:eastAsia="DejaVu Sans"/>
          <w:b/>
          <w:color w:val="087F5B"/>
          <w:sz w:val="24"/>
          <w:lang w:val="ar-SA" w:bidi="ar-SA"/>
        </w:rPr>
        <w:t>نموذج الأوصاف الوظيفية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/>
          <w:color w:val="17243A"/>
          <w:sz w:val="36"/>
          <w:lang w:val="ar-SA" w:bidi="ar-SA"/>
        </w:rPr>
        <w:t>أخصائي تطوير تنظيمي</w:t>
      </w:r>
    </w:p>
    <w:p>
      <w:pPr>
        <w:spacing w:after="4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1"/>
          <w:lang w:val="ar-SA" w:bidi="ar-SA"/>
        </w:rPr>
        <w:t>Organizational Development Specialist</w:t>
      </w:r>
    </w:p>
    <w:p>
      <w:pPr>
        <w:spacing w:after="280"/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20"/>
          <w:lang w:val="ar-SA" w:bidi="ar-SA"/>
        </w:rPr>
        <w:t>قالب استرشادي عام قابل للتخصيص للمنشآت في المملكة العربية السعودية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48"/>
        <w:gridCol w:w="2448"/>
        <w:gridCol w:w="2448"/>
        <w:gridCol w:w="2448"/>
      </w:tblGrid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HR-JD-OD-007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رمز الوثيقة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[اسم المنشأة]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اسم المنشأة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تاريخ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[1.0]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[صاحب الصلاحية]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جهة الاعتماد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إدارة الموارد البشرية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مالك الوصف</w:t>
            </w:r>
          </w:p>
        </w:tc>
      </w:tr>
      <w:tr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8"/>
                <w:lang w:val="ar-SA" w:bidi="ar-SA"/>
              </w:rPr>
              <w:t>[يوم/شهر/سنة]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المراجعة القادمة</w:t>
            </w:r>
          </w:p>
        </w:tc>
        <w:tc>
          <w:tcPr>
            <w:tcW w:type="dxa" w:w="3528"/>
            <w:shd w:fill="FFFFFF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سنويًا أو عند تغير نطاق الوظيفة</w:t>
            </w:r>
          </w:p>
        </w:tc>
        <w:tc>
          <w:tcPr>
            <w:tcW w:type="dxa" w:w="1800"/>
            <w:shd w:fill="E8EEF5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8"/>
                <w:lang w:val="ar-SA" w:bidi="ar-SA"/>
              </w:rPr>
              <w:t>دورية المراجعة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طريقة الاستخدام: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استبدل النصوص الزرقاء بين الأقواس [ ] ببيانات المنشأة، وراجع نطاق المسؤوليات والمؤهلات والصلاحيات ومؤشرات الأداء قبل الاعتماد.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FFF4E5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B26A00"/>
                <w:sz w:val="19"/>
                <w:lang w:val="ar-SA" w:bidi="ar-SA"/>
              </w:rPr>
              <w:t xml:space="preserve">تنبيه مهم: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هذا قالب استرشادي ويجب مواءمته مع الهيكل التنظيمي والدرجات ومصفوفة الصلاحيات والسياسات المعتمدة. لا يعد الوصف عقد عمل مستقلاً ولا ينشئ التزامًا ماليًا بذاته.</w:t>
            </w:r>
          </w:p>
        </w:tc>
      </w:tr>
    </w:tbl>
    <w:p>
      <w:pPr>
        <w:spacing w:after="0"/>
      </w:pPr>
    </w:p>
    <w:p>
      <w:pPr>
        <w:jc w:val="center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إعداد استرشادي للنشر ضمن نماذج مجد</w:t>
      </w:r>
    </w:p>
    <w:p>
      <w:r>
        <w:br w:type="page"/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1. بطاقة الوظيفة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البيانات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أخصائي تطوير تنظيمي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Organizational Development Specialist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المسمى بالإنجليزية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الموارد البشرية ورأس المال البشري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العائلة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إدارة الموارد البشرية / التطوير التنظيمي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الإدارة / القسم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[مدير التطوير التنظيمي / مدير رأس المال البشري]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الرئيس المباشر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لا يوجد / [حسب الهيكل]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المرؤوسون المباشرون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أخصائي / أخصائي أول بحسب الهيكل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المستوى الوظيفي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[الدرجة المعتمدة]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الدرجة الوظيفية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[المدينة / الموقع]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موقع العمل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[حضوري / هجين / عن بعد]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نمط العمل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2. الغرض من الوظيفة</w:t>
      </w:r>
    </w:p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1F2937"/>
          <w:sz w:val="20"/>
          <w:lang w:val="ar-SA" w:bidi="ar-SA"/>
        </w:rPr>
        <w:t>دعم تصميم وتطوير الهيكل التنظيمي ومعمارية الوظائف والأوصاف والكفاءات والمسارات المهنية، وتحليل فعالية التنظيم والتداخلات ونطاقات الإشراف، بما يضمن وضوح الأدوار واتساق الوظائف مع استراتيجية الأعمال والدرجات والصلاحيات.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3. سياق الوظيفة ونطاق الأثر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البعد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[عدد الموظفين/العمليات]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حجم النطاق المخدوم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[عدد الإدارات/المواقع]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النطاق التنظيمي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استراتيجي وتنظيمي على وضوح المسؤوليات وتكلفة الهيكل وسرعة القرار والعدالة الوظيفية والمسارات المهنية.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طبيعة الأثر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يعد التحليلات والتصاميم والتوصيات؛ التغييرات الهيكلية والدرجات والمسميات الجوهرية تعتمد وفق الحوكمة والصلاحيات.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مستوى الاستقلالية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سري جدًا - هياكل مستقبلية ودرجات ووظائف وتكاليف وقرارات تنظيمية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حساسية المعلومات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4. النتائج الرئيسية المتوقعة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هيكل تنظيمي واضح يترجم نموذج العمل ولا يكرر المسؤوليات.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أوصاف وظيفية محدثة مرتبطة بالوظائف الفعلية والدرجات.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معمارية وظائف ومسارات تسمح بالمقارنة والتطور المهني.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قرارات إعادة التنظيم مبنية على بيانات لا على المسميات فقط.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9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9"/>
          <w:lang w:val="ar-SA" w:bidi="ar-SA"/>
        </w:rPr>
        <w:t>سجل تغييرات هيكلية موثق ومتماسك بين الأنظمة والوثائق.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5. المسؤوليات والمهام الرئيسية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54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المهام والمسؤوليات</w:t>
            </w:r>
          </w:p>
        </w:tc>
        <w:tc>
          <w:tcPr>
            <w:tcW w:type="dxa" w:w="17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مجال المسؤولية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تصميم تنظيمي مبرر وقابل للتنفيذ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تحليل نموذج العمل والوحدات والمهام ونقاط القرار قبل اقتراح التغيير.</w:t>
              <w:br/>
              <w:t>• تطوير خيارات هيكلية ومقارنة أثرها على الطبقات والنطاقات والتكلفة.</w:t>
              <w:br/>
              <w:t>• توثيق الهيكل المعتمد وتاريخ السريان.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التصميم التنظيمي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Job Architecture واضحة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تجميع الوظائف في عائلات ومسارات ومستويات متسقة.</w:t>
              <w:br/>
              <w:t>• تحديد مبادئ المسميات والفروق بين المستويات.</w:t>
              <w:br/>
              <w:t>• ربط الوظيفة بالدرجة وفق منهج التقييم المعتمد.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معمارية الوظائف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أوصاف محدثة وقابلة للتقييم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إجراء أو دعم تحليل الوظيفة مع المديرين وشاغلي الأدوار.</w:t>
              <w:br/>
              <w:t>• صياغة الغرض والمسؤوليات والنتائج والصلاحيات والمتطلبات.</w:t>
              <w:br/>
              <w:t>• مراجعة التداخلات واعتماد النسخة وفق الحوكمة.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الأوصاف الوظيفية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تقييمات متسقة ومدعومة بالأدلة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إعداد البيانات المطلوبة للتقييم وتطبيق المنهج المعتمد ضمن الصلاحية.</w:t>
              <w:br/>
              <w:t>• توثيق عوامل التقييم والمقارنات الداخلية.</w:t>
              <w:br/>
              <w:t>• رفع الحالات الحدودية أو المتنازع عليها للجهة المختصة.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تقييم الوظائف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إطار كفاءات قابل للاستخدام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تطوير أو تحديث أطر الكفاءات السلوكية والفنية.</w:t>
              <w:br/>
              <w:t>• ربط مستويات الإتقان بالمستويات الوظيفية.</w:t>
              <w:br/>
              <w:t>• دعم استخدام الكفاءات في التوظيف والأداء والتطوير.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الكفاءات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مسارات مهنية واضحة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تصميم مسارات مهنية وحركات أفقية ورأسية منطقية.</w:t>
              <w:br/>
              <w:t>• تحديد الفجوات بين الأدوار ومتطلبات الانتقال.</w:t>
              <w:br/>
              <w:t>• التنسيق مع المواهب والتعلم لدعم التطوير.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المسارات والتنقل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قرارات تنظيمية مبنية على بيانات</w:t>
            </w:r>
          </w:p>
        </w:tc>
        <w:tc>
          <w:tcPr>
            <w:tcW w:type="dxa" w:w="54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• متابعة Span of Control والطبقات والتداخلات والشواغر التنظيمية.</w:t>
              <w:br/>
              <w:t>• تحليل تكلفة وأثر التغييرات التنظيمية.</w:t>
              <w:br/>
              <w:t>• إعداد تقارير وتوصيات للإدارة.</w:t>
            </w:r>
          </w:p>
        </w:tc>
        <w:tc>
          <w:tcPr>
            <w:tcW w:type="dxa" w:w="17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5"/>
                <w:lang w:val="ar-SA" w:bidi="ar-SA"/>
              </w:rPr>
              <w:t>تحليل الفعالية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6. توزيع المسؤوليات الاسترشادي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الوزن المقترح</w:t>
            </w:r>
          </w:p>
        </w:tc>
        <w:tc>
          <w:tcPr>
            <w:tcW w:type="dxa" w:w="734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المجال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التصميم التنظيمي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معمارية الوظائف والتقييم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الأوصاف الوظيفية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20%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الكفاءات والمسارات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15%</w:t>
            </w:r>
          </w:p>
        </w:tc>
        <w:tc>
          <w:tcPr>
            <w:tcW w:type="dxa" w:w="734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التحليل والحوكمة</w:t>
            </w:r>
          </w:p>
        </w:tc>
      </w:tr>
    </w:tbl>
    <w:p>
      <w:pPr>
        <w:spacing w:after="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8"/>
          <w:lang w:val="ar-SA" w:bidi="ar-SA"/>
        </w:rPr>
        <w:t>تعدل الأوزان قبل الاعتماد بما يعكس الواقع الفعلي للوظيفة، ويجب أن يكون مجموعها 100%.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7. المؤهلات والخبرة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05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المتطلب</w:t>
            </w:r>
          </w:p>
        </w:tc>
        <w:tc>
          <w:tcPr>
            <w:tcW w:type="dxa" w:w="23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بكالوريوس موارد بشرية أو إدارة أعمال أو هندسة صناعية أو إدارة عامة أو تخصص ذي صلة.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المؤهل العلمي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4-6 سنوات في التطوير التنظيمي أو تصميم الوظائف أو إدارة المواهب، ويفضل خبرة في Job Evaluation.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الخبرة العملية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CIPD أو SHRM أو HRCI أو اعتماد في منهج تقييم وظائف أو إدارة تغيير يعد ميزة إضافية.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الشهادات المهنية المفضلة</w:t>
            </w:r>
          </w:p>
        </w:tc>
      </w:tr>
      <w:tr>
        <w:tc>
          <w:tcPr>
            <w:tcW w:type="dxa" w:w="705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العربية ممتازة في الصياغة؛ الإنجليزية جيدة إلى متقدمة للمناهج والوثائق المقارنة.</w:t>
            </w:r>
          </w:p>
        </w:tc>
        <w:tc>
          <w:tcPr>
            <w:tcW w:type="dxa" w:w="23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اللغات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8. المعرفة والمهارات الفنية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223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مستوى الإتقان</w:t>
            </w:r>
          </w:p>
        </w:tc>
        <w:tc>
          <w:tcPr>
            <w:tcW w:type="dxa" w:w="712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المعرفة / المهارة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4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Organizational Design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4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Job Analysis &amp; JD Writing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Job Architecture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Job Evaluation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Competency Frameworks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Career Pathing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3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Workforce Analytics</w:t>
            </w:r>
          </w:p>
        </w:tc>
      </w:tr>
      <w:tr>
        <w:tc>
          <w:tcPr>
            <w:tcW w:type="dxa" w:w="223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2</w:t>
            </w:r>
          </w:p>
        </w:tc>
        <w:tc>
          <w:tcPr>
            <w:tcW w:type="dxa" w:w="712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Change Management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9. الكفاءات السلوكية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السلوك المتوقع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الكفاءة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يرى أثر تغيير وحدة أو دور على بقية التنظيم.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التفكير النظمي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يبني التوصية على نطاق العمل والقرار والبيانات لا على المسمى.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التحليل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يختبر طلبات الهيكلة التي تخفي مشكلة أداء أو موارد.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التحدي البنّاء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يحافظ على اتساق التقييم بين الإدارات والمستويات.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الحياد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يدير جلسات تحليل وظيفة وهيكل مع أصحاب مصالح متعددين.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التيسير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يحول العمل المعقد إلى مسؤوليات وحدود واضحة وقابلة للقياس.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جودة الصياغة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مقياس الإتقان: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1 = معرفة أساسية، 2 = تطبيق مستقل، 3 = مستوى متقدم وتوجيه الآخرين، 4 = مرجعية/خبير.</w:t>
            </w:r>
          </w:p>
        </w:tc>
      </w:tr>
    </w:tbl>
    <w:p>
      <w:pPr>
        <w:spacing w:after="0"/>
      </w:pP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10. الصلاحيات وحدود اتخاذ القرار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8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التفاصيل</w:t>
            </w:r>
          </w:p>
        </w:tc>
        <w:tc>
          <w:tcPr>
            <w:tcW w:type="dxa" w:w="237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نوع القرار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طلب معلومات تنظيمية ووظيفية لازمة للتحليل.</w:t>
              <w:br/>
              <w:t>• إعادة طلب هيكلي للجهة إذا كان النطاق أو المبرر غير واضح.</w:t>
              <w:br/>
              <w:t>• اقتراح بدائل للمسمى أو التبعية أو توزيع المسؤوليات.</w:t>
              <w:br/>
              <w:t>• تطبيق منهج التقييم المعتمد وإعداد النتيجة الأولية ضمن الصلاحية.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يجوز ضمن الصلاحية</w:t>
            </w:r>
          </w:p>
        </w:tc>
      </w:tr>
      <w:tr>
        <w:tc>
          <w:tcPr>
            <w:tcW w:type="dxa" w:w="698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• إنشاء أو إلغاء وحدة أو مستوى إداري أو منصب قيادي.</w:t>
              <w:br/>
              <w:t>• تغيير درجة وظيفية أو تكلفة هيكلية ذات أثر مالي.</w:t>
              <w:br/>
              <w:t>• خلاف جوهري على تقييم وظيفة أو تبعية تنظيمية.</w:t>
              <w:br/>
              <w:t>• طلب تصميم يخلق تضارب مصالح أو ضعف فصل مهام.</w:t>
              <w:br/>
              <w:t>• تعديل استثنائي خارج معمارية الوظائف المعتمدة.</w:t>
            </w:r>
          </w:p>
        </w:tc>
        <w:tc>
          <w:tcPr>
            <w:tcW w:type="dxa" w:w="237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يتطلب اعتمادًا/تصعيدًا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11. العلاقات الوظيفية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4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طبيعة العلاقة</w:t>
            </w:r>
          </w:p>
        </w:tc>
        <w:tc>
          <w:tcPr>
            <w:tcW w:type="dxa" w:w="288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الجهة / الطرف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تحليل النموذج التنظيمي والوظائف والاحتياجات.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القيادات ومدراء الإدارات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الدرجات وتقييم الوظائف والهياكل المالية.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التعويضات والمزايا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الكفاءات والمسارات والتعاقب.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المواهب والتطوير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تكلفة الهيكل ومواءمة التغيير مع الخطة.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المالية أو الاستراتيجية</w:t>
            </w:r>
          </w:p>
        </w:tc>
      </w:tr>
      <w:tr>
        <w:tc>
          <w:tcPr>
            <w:tcW w:type="dxa" w:w="64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تطبيق الهيكل والمسميات والبيانات بعد الاعتماد.</w:t>
            </w:r>
          </w:p>
        </w:tc>
        <w:tc>
          <w:tcPr>
            <w:tcW w:type="dxa" w:w="288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HRIS أو Operations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12. حدود الدور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يعامل طلب تغيير مسمى كحل تلقائي لمشكلة أداء أو توزيع عمل.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يقيم الوظيفة بناء على شاغلها الحالي أو راتبه الشخصي.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ينفذ تغييرًا هيكليًا قبل الاعتماد وتاريخ السريان.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لا يصمم وظيفة بمسؤوليات متعارضة أو غير قابلة للمساءلة.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13. متى يجب التصعيد فورًا؟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طبقات إدارية كثيرة دون فرق أو مسؤوليات تبررها.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وظيفتان بمسؤوليات متطابقة ومسميات أو درجات مختلفة بلا سبب.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مدير يطلب رفع درجة بسبب أداء شخص لا بسبب حجم الوظيفة.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تغيير تبعية يخلق تضاربًا في الرقابة أو الصلاحيات.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هيكل معتمد لا يطابق HRIS أو الواقع التشغيلي.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14. مؤشرات الأداء الرئيسية KPIs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المستهدف الاسترشادي</w:t>
            </w:r>
          </w:p>
        </w:tc>
        <w:tc>
          <w:tcPr>
            <w:tcW w:type="dxa" w:w="453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طريقة القياس</w:t>
            </w:r>
          </w:p>
        </w:tc>
        <w:tc>
          <w:tcPr>
            <w:tcW w:type="dxa" w:w="280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المؤشر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95%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الوظائف النشطة بوصف معتمد ومحدث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تغطية الأوصاف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من اكتمال المدخلات حتى التوصية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زمن تقييم الوظيفة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95%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الوظائف المطابقة لقواعد العائلات والمستويات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اتساق Job Architecture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98%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التغييرات المطبقة دون فروقات بين الوثائق والأنظمة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تنفيذ التغييرات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[يحدد]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حالات التداخل المعالجة بعد المراجعة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إغلاق التداخلات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≥ 90%</w:t>
            </w:r>
          </w:p>
        </w:tc>
        <w:tc>
          <w:tcPr>
            <w:tcW w:type="dxa" w:w="453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وضوح وجودة المخرجات التنظيمية</w:t>
            </w:r>
          </w:p>
        </w:tc>
        <w:tc>
          <w:tcPr>
            <w:tcW w:type="dxa" w:w="280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رضا أصحاب المصلحة</w:t>
            </w:r>
          </w:p>
        </w:tc>
      </w:tr>
    </w:tbl>
    <w:p>
      <w:pPr>
        <w:spacing w:after="100" w:line="264" w:lineRule="auto"/>
        <w:jc w:val="right"/>
        <w:bidi w:val="1"/>
      </w:pPr>
      <w:r>
        <w:rPr>
          <w:rFonts w:ascii="DejaVu Sans" w:hAnsi="DejaVu Sans" w:cs="DejaVu Sans" w:eastAsia="DejaVu Sans"/>
          <w:b w:val="0"/>
          <w:color w:val="667085"/>
          <w:sz w:val="17"/>
          <w:lang w:val="ar-SA" w:bidi="ar-SA"/>
        </w:rPr>
        <w:t>المستهدفات استرشادية؛ تعتمد الأهداف النهائية وفق حجم المنشأة ومستوى الوظيفة واتفاقيات مستوى الخدمة الداخلية.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15. المخاطر والضوابط المرتبطة بالدور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489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الضابط المقترح</w:t>
            </w:r>
          </w:p>
        </w:tc>
        <w:tc>
          <w:tcPr>
            <w:tcW w:type="dxa" w:w="446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الخطر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معايير طبقات ونطاقات إشراف وتحليل تكلفة قبل الاعتماد.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تضخم هيكلي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منهج موحد ومراجعة للحالات الحدودية.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عدم عدالة تقييم الوظائف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تحليل وظيفة ومقابلات ومراجعة المدير قبل الاعتماد.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أوصاف شكلية لا تعكس الواقع</w:t>
            </w:r>
          </w:p>
        </w:tc>
      </w:tr>
      <w:tr>
        <w:tc>
          <w:tcPr>
            <w:tcW w:type="dxa" w:w="489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Change checklist وتاريخ سريان وتأكيد التطبيق متعدد الأنظمة.</w:t>
            </w:r>
          </w:p>
        </w:tc>
        <w:tc>
          <w:tcPr>
            <w:tcW w:type="dxa" w:w="446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عدم تطابق الهيكل والأنظمة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16. متطلبات أول 90 يومًا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720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المخرجات المتوقعة</w:t>
            </w:r>
          </w:p>
        </w:tc>
        <w:tc>
          <w:tcPr>
            <w:tcW w:type="dxa" w:w="216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الفترة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فهم الهيكل الحالي ومعمارية الوظائف ومنهج التقييم والحوكمة.</w:t>
              <w:br/>
              <w:t>• مراجعة عينات من أوصاف وتقييمات وتغييرات سابقة.</w:t>
              <w:br/>
              <w:t>• التعرف على بيانات القوى العاملة والطبقات ونطاقات الإشراف.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أول 30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إدارة تحليل ووصف مجموعة وظائف وتطبيق المراجعة.</w:t>
              <w:br/>
              <w:t>• إعداد تقييم أولي أو تحليل هيكلي تحت مراجعة المدير.</w:t>
              <w:br/>
              <w:t>• تحديد تداخل أو فجوة تنظيمية حقيقية مدعومة بالبيانات.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31-60 يومًا</w:t>
            </w:r>
          </w:p>
        </w:tc>
      </w:tr>
      <w:tr>
        <w:tc>
          <w:tcPr>
            <w:tcW w:type="dxa" w:w="720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• قيادة حزمة صغيرة من تحديثات الوظائف أو الهيكل من التحليل للاعتماد.</w:t>
              <w:br/>
              <w:t>• إنتاج Dashboard للهيكل والأوصاف والتقييمات.</w:t>
              <w:br/>
              <w:t>• تقديم توصية تنظيمية واحدة على الأقل مع بدائل وأثر واضح.</w:t>
            </w:r>
          </w:p>
        </w:tc>
        <w:tc>
          <w:tcPr>
            <w:tcW w:type="dxa" w:w="216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61-90 يومًا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17. المسار المهني والاستمرارية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96"/>
        <w:gridCol w:w="4896"/>
      </w:tblGrid>
      <w:tr>
        <w:trPr>
          <w:tblHeader w:val="true"/>
        </w:trPr>
        <w:tc>
          <w:tcPr>
            <w:tcW w:type="dxa" w:w="6912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البيان</w:t>
            </w:r>
          </w:p>
        </w:tc>
        <w:tc>
          <w:tcPr>
            <w:tcW w:type="dxa" w:w="2448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العنصر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أخصائي موارد بشرية / محلل تنظيم / أخصائي أداء أو مواهب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سابقة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أخصائي تطوير تنظيمي أول / OD Partner / Organizational Effectiveness Manager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مسارات تطور محتملة</w:t>
            </w:r>
          </w:p>
        </w:tc>
      </w:tr>
      <w:tr>
        <w:tc>
          <w:tcPr>
            <w:tcW w:type="dxa" w:w="6912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7"/>
                <w:lang w:val="ar-SA" w:bidi="ar-SA"/>
              </w:rPr>
              <w:t>[يحدد البديل وفق خطة الاستمرارية]</w:t>
            </w:r>
          </w:p>
        </w:tc>
        <w:tc>
          <w:tcPr>
            <w:tcW w:type="dxa" w:w="2448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7"/>
                <w:lang w:val="ar-SA" w:bidi="ar-SA"/>
              </w:rPr>
              <w:t>بديل الوظيفة عند الغياب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18. ظروف ومتطلبات العمل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عمل تحليلي ومقابلات وورش مع قيادات وأصحاب وظائف.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التعامل مع معلومات هيكلية ومالية حساسة قبل الإعلان.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قد ترتفع كثافة العمل خلال إعادة الهيكلة والميزانيات.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8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8"/>
          <w:lang w:val="ar-SA" w:bidi="ar-SA"/>
        </w:rPr>
        <w:t>السفر: [حسب مواقع المنشأة وورش التحليل].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19. قائمة التخصيص قبل الاعتماد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تأكيد المسمى والدرجة والعائلة الوظيفية وموقع الوظيفة في الهيكل.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التحقق من أن المسؤوليات تعكس العمل الفعلي ولا تتداخل جوهريًا مع وظيفة أخرى.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نطاق الأثر: الموظفون/الإدارات/المواقع/حجم العمليات.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تحديد الصلاحيات وحدود القرار والتصعيد وفق مصفوفة الصلاحيات.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المؤهل والخبرة لتجنب اشتراطات أعلى من الحاجة الفعلية.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اعتماد المهارات والكفاءات ومستويات الإتقان قبل الإعلان أو التقييم.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تحويل KPIs الاسترشادية إلى مستهدفات قابلة للقياس.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ظروف العمل واللغة والسفر والمتطلبات الخاصة.</w:t>
      </w:r>
    </w:p>
    <w:p>
      <w:pPr>
        <w:spacing w:after="40" w:line="252" w:lineRule="auto"/>
        <w:ind w:right="173" w:hanging="173"/>
        <w:jc w:val="right"/>
        <w:bidi w:val="1"/>
      </w:pPr>
      <w:r>
        <w:rPr>
          <w:rFonts w:ascii="DejaVu Sans" w:hAnsi="DejaVu Sans" w:cs="DejaVu Sans" w:eastAsia="DejaVu Sans"/>
          <w:b/>
          <w:color w:val="1F2937"/>
          <w:sz w:val="17"/>
          <w:lang w:val="ar-SA" w:bidi="ar-SA"/>
        </w:rPr>
        <w:t xml:space="preserve">• </w:t>
      </w:r>
      <w:r>
        <w:rPr>
          <w:rFonts w:ascii="DejaVu Sans" w:hAnsi="DejaVu Sans" w:cs="DejaVu Sans" w:eastAsia="DejaVu Sans"/>
          <w:b w:val="0"/>
          <w:color w:val="1F2937"/>
          <w:sz w:val="17"/>
          <w:lang w:val="ar-SA" w:bidi="ar-SA"/>
        </w:rPr>
        <w:t>مراجعة الوصف مع المدير المباشر والموارد البشرية وصاحب الصلاحية.</w:t>
      </w:r>
    </w:p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20. سجل الاعتماد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482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الاسم / المسمى</w:t>
            </w:r>
          </w:p>
        </w:tc>
        <w:tc>
          <w:tcPr>
            <w:tcW w:type="dxa" w:w="252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الإجراء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أعد الوصف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راجعه المدير المباشر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راجعته الموارد البشرية</w:t>
            </w:r>
          </w:p>
        </w:tc>
      </w:tr>
      <w:tr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482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[الاسم/المسمى]</w:t>
            </w:r>
          </w:p>
        </w:tc>
        <w:tc>
          <w:tcPr>
            <w:tcW w:type="dxa" w:w="252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اعتمده صاحب الصلاحية</w:t>
            </w:r>
          </w:p>
        </w:tc>
      </w:tr>
    </w:tbl>
    <w:p>
      <w:pPr>
        <w:pStyle w:val="Heading1"/>
        <w:jc w:val="right"/>
        <w:bidi w:val="1"/>
      </w:pPr>
      <w:r/>
      <w:r>
        <w:rPr>
          <w:rFonts w:ascii="DejaVu Sans" w:hAnsi="DejaVu Sans" w:cs="DejaVu Sans" w:eastAsia="DejaVu Sans"/>
          <w:b/>
          <w:color w:val="087F5B"/>
          <w:sz w:val="31"/>
          <w:lang w:val="ar-SA" w:bidi="ar-SA"/>
        </w:rPr>
        <w:t>21. سجل التعديلات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264"/>
        <w:gridCol w:w="3264"/>
        <w:gridCol w:w="3264"/>
      </w:tblGrid>
      <w:tr>
        <w:trPr>
          <w:tblHeader w:val="true"/>
        </w:trPr>
        <w:tc>
          <w:tcPr>
            <w:tcW w:type="dxa" w:w="5904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وصف التعديل</w:t>
            </w:r>
          </w:p>
        </w:tc>
        <w:tc>
          <w:tcPr>
            <w:tcW w:type="dxa" w:w="2016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التاريخ</w:t>
            </w:r>
          </w:p>
        </w:tc>
        <w:tc>
          <w:tcPr>
            <w:tcW w:type="dxa" w:w="1440"/>
            <w:shd w:fill="17243A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FFFFFF"/>
                <w:sz w:val="18"/>
                <w:lang w:val="ar-SA" w:bidi="ar-SA"/>
              </w:rPr>
              <w:t>الإصدار</w:t>
            </w:r>
          </w:p>
        </w:tc>
      </w:tr>
      <w:tr>
        <w:tc>
          <w:tcPr>
            <w:tcW w:type="dxa" w:w="5904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[وصف التعديل]</w:t>
            </w:r>
          </w:p>
        </w:tc>
        <w:tc>
          <w:tcPr>
            <w:tcW w:type="dxa" w:w="2016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0563C1"/>
                <w:sz w:val="16"/>
                <w:lang w:val="ar-SA" w:bidi="ar-SA"/>
              </w:rPr>
              <w:t>[التاريخ]</w:t>
            </w:r>
          </w:p>
        </w:tc>
        <w:tc>
          <w:tcPr>
            <w:tcW w:type="dxa" w:w="1440"/>
            <w:vAlign w:val="center"/>
            <w:tcMar>
              <w:top w:w="75" w:type="dxa"/>
              <w:start w:w="100" w:type="dxa"/>
              <w:bottom w:w="75" w:type="dxa"/>
              <w:end w:w="100" w:type="dxa"/>
            </w:tcMar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</w:tcPr>
          <w:p>
            <w:pPr>
              <w:spacing w:after="0" w:line="240" w:lineRule="auto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 w:val="0"/>
                <w:color w:val="1F2937"/>
                <w:sz w:val="16"/>
                <w:lang w:val="ar-SA" w:bidi="ar-SA"/>
              </w:rPr>
              <w:t>1.0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92"/>
      </w:tblGrid>
      <w:tr>
        <w:tc>
          <w:tcPr>
            <w:tcW w:type="dxa" w:w="9792"/>
            <w:shd w:fill="E8F5F0"/>
            <w:tcBorders>
              <w:top w:val="single" w:sz="6" w:color="30343B"/>
              <w:bottom w:val="single" w:sz="6" w:color="30343B"/>
              <w:left w:val="single" w:sz="6" w:color="30343B"/>
              <w:right w:val="single" w:sz="6" w:color="30343B"/>
            </w:tcBorders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after="0"/>
              <w:jc w:val="right"/>
              <w:bidi w:val="1"/>
            </w:pPr>
            <w:r/>
            <w:r>
              <w:rPr>
                <w:rFonts w:ascii="DejaVu Sans" w:hAnsi="DejaVu Sans" w:cs="DejaVu Sans" w:eastAsia="DejaVu Sans"/>
                <w:b/>
                <w:color w:val="087F5B"/>
                <w:sz w:val="19"/>
                <w:lang w:val="ar-SA" w:bidi="ar-SA"/>
              </w:rPr>
              <w:t xml:space="preserve">مرجعيات التخصيص: </w:t>
            </w:r>
            <w:r>
              <w:rPr>
                <w:rFonts w:ascii="DejaVu Sans" w:hAnsi="DejaVu Sans" w:cs="DejaVu Sans" w:eastAsia="DejaVu Sans"/>
                <w:b w:val="0"/>
                <w:color w:val="1F2937"/>
                <w:sz w:val="19"/>
                <w:lang w:val="ar-SA" w:bidi="ar-SA"/>
              </w:rPr>
              <w:t>الهيكل التنظيمي، معمارية الوظائف والدرجات، مصفوفة الصلاحيات، سياسات الموارد البشرية، إجراءات العمل، ومتطلبات الأنظمة واللوائح ذات العلاقة بحسب ما ينطبق.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bidi w:val="1"/>
    </w:pPr>
    <w:r/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t xml:space="preserve">صفحة </w:t>
    </w:r>
    <w:r>
      <w:rPr>
        <w:rFonts w:ascii="DejaVu Sans" w:hAnsi="DejaVu Sans" w:cs="DejaVu Sans" w:eastAsia="DejaVu Sans"/>
        <w:b w:val="0"/>
        <w:color w:val="667085"/>
        <w:sz w:val="18"/>
        <w:lang w:val="ar-SA" w:bidi="ar-SA"/>
      </w:rP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bidi w:val="1"/>
    </w:pPr>
    <w:r/>
    <w:r>
      <w:rPr>
        <w:rFonts w:ascii="DejaVu Sans" w:hAnsi="DejaVu Sans" w:cs="DejaVu Sans" w:eastAsia="DejaVu Sans"/>
        <w:b w:val="0"/>
        <w:color w:val="087F5B"/>
        <w:sz w:val="18"/>
        <w:lang w:val="ar-SA" w:bidi="ar-SA"/>
      </w:rPr>
      <w:t>مجد | نموذج وصف وظيفي | أخصائي تطوير تنظيمي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  <w:jc w:val="right"/>
    </w:pPr>
    <w:rPr>
      <w:rFonts w:ascii="DejaVu Sans" w:hAnsi="DejaVu Sans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00"/>
      <w:jc w:val="right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87F5B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jc w:val="right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87F5B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