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spacing w:after="160"/>
        <w:jc w:val="center"/>
        <w:bidi w:val="1"/>
      </w:pPr>
      <w:r>
        <w:rPr>
          <w:rFonts w:ascii="DejaVu Sans" w:hAnsi="DejaVu Sans" w:cs="DejaVu Sans" w:eastAsia="DejaVu Sans"/>
          <w:b/>
          <w:color w:val="087F5B"/>
          <w:sz w:val="24"/>
          <w:lang w:val="ar-SA" w:bidi="ar-SA"/>
        </w:rPr>
        <w:t>نموذج الأوصاف الوظيفية</w:t>
      </w:r>
    </w:p>
    <w:p>
      <w:pPr>
        <w:spacing w:after="40"/>
        <w:jc w:val="center"/>
        <w:bidi w:val="1"/>
      </w:pPr>
      <w:r>
        <w:rPr>
          <w:rFonts w:ascii="DejaVu Sans" w:hAnsi="DejaVu Sans" w:cs="DejaVu Sans" w:eastAsia="DejaVu Sans"/>
          <w:b/>
          <w:color w:val="17243A"/>
          <w:sz w:val="36"/>
          <w:lang w:val="ar-SA" w:bidi="ar-SA"/>
        </w:rPr>
        <w:t>أخصائي تدريب وتطوير</w:t>
      </w:r>
    </w:p>
    <w:p>
      <w:pPr>
        <w:spacing w:after="40"/>
        <w:jc w:val="center"/>
        <w:bidi w:val="1"/>
      </w:pPr>
      <w:r>
        <w:rPr>
          <w:rFonts w:ascii="DejaVu Sans" w:hAnsi="DejaVu Sans" w:cs="DejaVu Sans" w:eastAsia="DejaVu Sans"/>
          <w:b w:val="0"/>
          <w:color w:val="667085"/>
          <w:sz w:val="21"/>
          <w:lang w:val="ar-SA" w:bidi="ar-SA"/>
        </w:rPr>
        <w:t>Learning &amp; Development Specialist</w:t>
      </w:r>
    </w:p>
    <w:p>
      <w:pPr>
        <w:spacing w:after="280"/>
        <w:jc w:val="center"/>
        <w:bidi w:val="1"/>
      </w:pPr>
      <w:r>
        <w:rPr>
          <w:rFonts w:ascii="DejaVu Sans" w:hAnsi="DejaVu Sans" w:cs="DejaVu Sans" w:eastAsia="DejaVu Sans"/>
          <w:b w:val="0"/>
          <w:color w:val="667085"/>
          <w:sz w:val="20"/>
          <w:lang w:val="ar-SA" w:bidi="ar-SA"/>
        </w:rPr>
        <w:t>قالب استرشادي عام قابل للتخصيص للمنشآت في المملكة العربية السعودية</w:t>
      </w:r>
    </w:p>
    <w:tbl>
      <w:tblPr>
        <w:tblStyle w:val="TableGrid"/>
        <w:tblW w:type="auto" w:w="0"/>
        <w:jc w:val="center"/>
        <w:tblLook w:firstColumn="1" w:firstRow="1" w:lastColumn="0" w:lastRow="0" w:noHBand="0" w:noVBand="1" w:val="04A0"/>
      </w:tblPr>
      <w:tblGrid>
        <w:gridCol w:w="2448"/>
        <w:gridCol w:w="2448"/>
        <w:gridCol w:w="2448"/>
        <w:gridCol w:w="2448"/>
      </w:tblGrid>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HR-JD-LD-006</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رمز الوثيقة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[اسم المنشأة]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اسم المنشأة</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تاريخ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[1.0]</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الإصدار</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[صاحب الصلاحية]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جهة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إدارة الموارد البشرية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مالك الوصف</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المراجعة القادمة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سنويًا أو عند تغير نطاق الوظيفة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دورية المراجعة</w:t>
            </w:r>
          </w:p>
        </w:tc>
      </w:tr>
    </w:tbl>
    <w:p>
      <w:pPr>
        <w:spacing w:after="0"/>
      </w:pPr>
    </w:p>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طريقة الاستخدام: </w:t>
            </w:r>
            <w:r>
              <w:rPr>
                <w:rFonts w:ascii="DejaVu Sans" w:hAnsi="DejaVu Sans" w:cs="DejaVu Sans" w:eastAsia="DejaVu Sans"/>
                <w:b w:val="0"/>
                <w:color w:val="1F2937"/>
                <w:sz w:val="19"/>
                <w:lang w:val="ar-SA" w:bidi="ar-SA"/>
              </w:rPr>
              <w:t>استبدل النصوص الزرقاء بين الأقواس [ ] ببيانات المنشأة، وراجع نطاق المسؤوليات والمؤهلات والصلاحيات ومؤشرات الأداء قبل الاعتماد.</w:t>
            </w:r>
          </w:p>
        </w:tc>
      </w:tr>
    </w:tbl>
    <w:p>
      <w:pPr>
        <w:spacing w:after="0"/>
      </w:pPr>
    </w:p>
    <w:tbl>
      <w:tblPr>
        <w:tblW w:type="auto" w:w="0"/>
        <w:jc w:val="center"/>
        <w:tblLook w:firstColumn="1" w:firstRow="1" w:lastColumn="0" w:lastRow="0" w:noHBand="0" w:noVBand="1" w:val="04A0"/>
      </w:tblPr>
      <w:tblGrid>
        <w:gridCol w:w="9792"/>
      </w:tblGrid>
      <w:tr>
        <w:tc>
          <w:tcPr>
            <w:tcW w:type="dxa" w:w="9792"/>
            <w:shd w:fill="FFF4E5"/>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B26A00"/>
                <w:sz w:val="19"/>
                <w:lang w:val="ar-SA" w:bidi="ar-SA"/>
              </w:rPr>
              <w:t xml:space="preserve">تنبيه مهم: </w:t>
            </w:r>
            <w:r>
              <w:rPr>
                <w:rFonts w:ascii="DejaVu Sans" w:hAnsi="DejaVu Sans" w:cs="DejaVu Sans" w:eastAsia="DejaVu Sans"/>
                <w:b w:val="0"/>
                <w:color w:val="1F2937"/>
                <w:sz w:val="19"/>
                <w:lang w:val="ar-SA" w:bidi="ar-SA"/>
              </w:rPr>
              <w:t>هذا قالب استرشادي ويجب مواءمته مع الهيكل التنظيمي والدرجات ومصفوفة الصلاحيات والسياسات المعتمدة. لا يعد الوصف عقد عمل مستقلاً ولا ينشئ التزامًا ماليًا بذاته.</w:t>
            </w:r>
          </w:p>
        </w:tc>
      </w:tr>
    </w:tbl>
    <w:p>
      <w:pPr>
        <w:spacing w:after="0"/>
      </w:pPr>
    </w:p>
    <w:p>
      <w:pPr>
        <w:jc w:val="center"/>
        <w:bidi w:val="1"/>
      </w:pPr>
      <w:r>
        <w:rPr>
          <w:rFonts w:ascii="DejaVu Sans" w:hAnsi="DejaVu Sans" w:cs="DejaVu Sans" w:eastAsia="DejaVu Sans"/>
          <w:b w:val="0"/>
          <w:color w:val="667085"/>
          <w:sz w:val="18"/>
          <w:lang w:val="ar-SA" w:bidi="ar-SA"/>
        </w:rPr>
        <w:t>إعداد استرشادي للنشر ضمن نماذج مجد</w:t>
      </w:r>
    </w:p>
    <w:p>
      <w:r>
        <w:br w:type="page"/>
      </w:r>
    </w:p>
    <w:p>
      <w:pPr>
        <w:pStyle w:val="Heading1"/>
        <w:jc w:val="right"/>
        <w:bidi w:val="1"/>
      </w:pPr>
      <w:r/>
      <w:r>
        <w:rPr>
          <w:rFonts w:ascii="DejaVu Sans" w:hAnsi="DejaVu Sans" w:cs="DejaVu Sans" w:eastAsia="DejaVu Sans"/>
          <w:b/>
          <w:color w:val="087F5B"/>
          <w:sz w:val="31"/>
          <w:lang w:val="ar-SA" w:bidi="ar-SA"/>
        </w:rPr>
        <w:t>1. بطاقة الوظيفة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البيانات</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تدريب وتطوير</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Learning &amp; Development Specialist</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بالإنجليزية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الموارد البشرية ورأس المال البشري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العائلة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إدارة الموارد البشرية / التعلم والتطوير</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الإدارة / القسم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[مدير التعلم والتطوير / مدير تطوير المواهب]</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الرئيس المباشر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لا يوجد / [حسب الهيكل]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المرؤوسون المباشرون</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المستوى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[الدرجة المعتمدة]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الدرجة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[المدينة / الموقع]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موقع العمل</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[حضوري / هجين / عن بعد]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نمط العمل</w:t>
            </w:r>
          </w:p>
        </w:tc>
      </w:tr>
    </w:tbl>
    <w:p>
      <w:pPr>
        <w:pStyle w:val="Heading1"/>
        <w:jc w:val="right"/>
        <w:bidi w:val="1"/>
      </w:pPr>
      <w:r/>
      <w:r>
        <w:rPr>
          <w:rFonts w:ascii="DejaVu Sans" w:hAnsi="DejaVu Sans" w:cs="DejaVu Sans" w:eastAsia="DejaVu Sans"/>
          <w:b/>
          <w:color w:val="087F5B"/>
          <w:sz w:val="31"/>
          <w:lang w:val="ar-SA" w:bidi="ar-SA"/>
        </w:rPr>
        <w:t>2. الغرض من الوظيفة</w:t>
      </w:r>
    </w:p>
    <w:p>
      <w:pPr>
        <w:spacing w:after="100" w:line="264" w:lineRule="auto"/>
        <w:jc w:val="right"/>
        <w:bidi w:val="1"/>
      </w:pPr>
      <w:r>
        <w:rPr>
          <w:rFonts w:ascii="DejaVu Sans" w:hAnsi="DejaVu Sans" w:cs="DejaVu Sans" w:eastAsia="DejaVu Sans"/>
          <w:b w:val="0"/>
          <w:color w:val="1F2937"/>
          <w:sz w:val="20"/>
          <w:lang w:val="ar-SA" w:bidi="ar-SA"/>
        </w:rPr>
        <w:t>تحويل احتياجات الأعمال والفجوات في القدرات إلى تدخلات تعلم وتطوير مخططة وقابلة للقياس، وإدارة دورة البرامج من تحليل الاحتياج والتصميم والتوريد والتنفيذ إلى تقييم التعلم والتطبيق والأثر، بما يرفع جاهزية الموظفين للأداء الحالي والمستقبلي.</w:t>
      </w:r>
    </w:p>
    <w:p>
      <w:pPr>
        <w:pStyle w:val="Heading1"/>
        <w:jc w:val="right"/>
        <w:bidi w:val="1"/>
      </w:pPr>
      <w:r/>
      <w:r>
        <w:rPr>
          <w:rFonts w:ascii="DejaVu Sans" w:hAnsi="DejaVu Sans" w:cs="DejaVu Sans" w:eastAsia="DejaVu Sans"/>
          <w:b/>
          <w:color w:val="087F5B"/>
          <w:sz w:val="31"/>
          <w:lang w:val="ar-SA" w:bidi="ar-SA"/>
        </w:rPr>
        <w:t>3. سياق الوظيفة ونطاق الأثر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البعد</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[عدد الموظفين/العمليات]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حجم النطاق المخدوم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[عدد الإدارات/المواقع]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النطاق التنظيمي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مباشر على جاهزية القدرات وسرعة اكتساب المهارة وفعالية الإنفاق التدريبي واستدامة المواهب.</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طبيعة الأثر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يدير برامج وخططًا ضمن الميزانية والمعايير المعتمدة، بينما البرامج الكبيرة والتعاقدات والاستثناءات تخضع للصلاحيات.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مستوى الاستقلالية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سري - نتائج تقييمات وفجوات قدرات وخطط تطوير وبيانات موردين</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حساسية المعلومات</w:t>
            </w:r>
          </w:p>
        </w:tc>
      </w:tr>
    </w:tbl>
    <w:p>
      <w:pPr>
        <w:pStyle w:val="Heading1"/>
        <w:jc w:val="right"/>
        <w:bidi w:val="1"/>
      </w:pPr>
      <w:r/>
      <w:r>
        <w:rPr>
          <w:rFonts w:ascii="DejaVu Sans" w:hAnsi="DejaVu Sans" w:cs="DejaVu Sans" w:eastAsia="DejaVu Sans"/>
          <w:b/>
          <w:color w:val="087F5B"/>
          <w:sz w:val="31"/>
          <w:lang w:val="ar-SA" w:bidi="ar-SA"/>
        </w:rPr>
        <w:t>4. النتائج الرئيسية المتوقعة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خطة تعلم مرتبطة باحتياجات موثقة وليست قائمة دورات عامة.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برامج تنفذ ضمن الميزانية والوقت مع حضور وإكمال موثق.</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قياس يتجاوز رضا المتدرب إلى التعلم والتطبيق عند ملاءمة البرنامج.</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مديرون وموظفون يعرفون مسؤوليتهم بعد التدريب لتحويله إلى أداء.</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تقارير واضحة عن تكلفة التعلم وتغطيته وأثره.</w:t>
      </w:r>
    </w:p>
    <w:p>
      <w:pPr>
        <w:pStyle w:val="Heading1"/>
        <w:jc w:val="right"/>
        <w:bidi w:val="1"/>
      </w:pPr>
      <w:r/>
      <w:r>
        <w:rPr>
          <w:rFonts w:ascii="DejaVu Sans" w:hAnsi="DejaVu Sans" w:cs="DejaVu Sans" w:eastAsia="DejaVu Sans"/>
          <w:b/>
          <w:color w:val="087F5B"/>
          <w:sz w:val="31"/>
          <w:lang w:val="ar-SA" w:bidi="ar-SA"/>
        </w:rPr>
        <w:t>5. المسؤوليات والمهام الرئيسية</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54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المهام والمسؤوليات</w:t>
            </w:r>
          </w:p>
        </w:tc>
        <w:tc>
          <w:tcPr>
            <w:tcW w:type="dxa" w:w="17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مجال المسؤولية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TNA موثق وأولويات واضحة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جمع الاحتياجات من الأداء والاستراتيجية والمديرين وبيانات القدرات.</w:t>
              <w:br/>
              <w:t>• تمييز الفجوة التدريبية عن مشكلات العملية أو الحوافز أو الموارد.</w:t>
              <w:br/>
              <w:t>• ترتيب الأولويات حسب الأثر والمخاطر والجمهور.</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تحليل الاحتياج</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خطة معتمدة وقابلة للتنفيذ</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إعداد خطة سنوية أو ربع سنوية وبرامج إلزامية وتطويرية.</w:t>
              <w:br/>
              <w:t>• تقدير التكلفة والطاقة الاستيعابية والجداول.</w:t>
              <w:br/>
              <w:t>• متابعة الصرف والانحراف عن الميزانية.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الخطة والميزانية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حل تعلم مصمم للهدف</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تحديد أهداف تعلم قابلة للقياس ومحتوى وطريقة تقديم مناسبة.</w:t>
              <w:br/>
              <w:t>• تصميم مسارات أو مواد داخلية عند الحاجة.</w:t>
              <w:br/>
              <w:t>• ربط التقييم بأهداف التعلم لا بالحضور فقط.</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التصميم</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موردون مناسبون وأداء موثق</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إعداد نطاق العمل وتقييم العروض والقدرة الفنية.</w:t>
              <w:br/>
              <w:t>• تنسيق التعاقدات والمواد والجدول ضمن الصلاحيات.</w:t>
              <w:br/>
              <w:t>• تقييم أداء المورد بعد التنفيذ.</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الموردون</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برنامج منفذ وسجل مكتمل</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إدارة التسجيل والدعوات والقاعات أو المنصات والحضور.</w:t>
              <w:br/>
              <w:t>• دعم المدرب والمتدربين ومعالجة المشكلات التشغيلية.</w:t>
              <w:br/>
              <w:t>• حفظ السجلات والشهادات والنتائج في LMS أو السجل المعتمد.</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التنفيذ</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دليل على فاعلية التعلم</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قياس الرضا والتعلم والتطبيق وفق أهمية البرنامج.</w:t>
              <w:br/>
              <w:t>• متابعة المدير والمتدرب بعد البرنامج عند الحاجة.</w:t>
              <w:br/>
              <w:t>• تحليل البيانات وإيقاف أو تعديل البرامج ضعيفة العائد.</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القياس والأثر</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قدرات ومسارات تعلم مستدامة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دعم مسارات التطوير والبرامج القيادية والمهنية.</w:t>
              <w:br/>
              <w:t>• تطوير مكتبة تعلم ومصادر ذاتية مرتبطة بالكفاءات.</w:t>
              <w:br/>
              <w:t>• المشاركة في مبادرات نقل المعرفة والتعلم في العمل.</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بناء القدرات</w:t>
            </w:r>
          </w:p>
        </w:tc>
      </w:tr>
    </w:tbl>
    <w:p>
      <w:pPr>
        <w:pStyle w:val="Heading1"/>
        <w:jc w:val="right"/>
        <w:bidi w:val="1"/>
      </w:pPr>
      <w:r/>
      <w:r>
        <w:rPr>
          <w:rFonts w:ascii="DejaVu Sans" w:hAnsi="DejaVu Sans" w:cs="DejaVu Sans" w:eastAsia="DejaVu Sans"/>
          <w:b/>
          <w:color w:val="087F5B"/>
          <w:sz w:val="31"/>
          <w:lang w:val="ar-SA" w:bidi="ar-SA"/>
        </w:rPr>
        <w:t>6. توزيع المسؤوليات الاسترشادي</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الوزن المقترح</w:t>
            </w:r>
          </w:p>
        </w:tc>
        <w:tc>
          <w:tcPr>
            <w:tcW w:type="dxa" w:w="734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المجال</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تحليل الاحتياج والخطة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تصميم وتنفيذ البرامج</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الموردون والميزانية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القياس والأثر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المسارات وبناء القدرات</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البيانات والتقارير</w:t>
            </w:r>
          </w:p>
        </w:tc>
      </w:tr>
    </w:tbl>
    <w:p>
      <w:pPr>
        <w:spacing w:after="0" w:line="264" w:lineRule="auto"/>
        <w:jc w:val="right"/>
        <w:bidi w:val="1"/>
      </w:pPr>
      <w:r>
        <w:rPr>
          <w:rFonts w:ascii="DejaVu Sans" w:hAnsi="DejaVu Sans" w:cs="DejaVu Sans" w:eastAsia="DejaVu Sans"/>
          <w:b w:val="0"/>
          <w:color w:val="667085"/>
          <w:sz w:val="18"/>
          <w:lang w:val="ar-SA" w:bidi="ar-SA"/>
        </w:rPr>
        <w:t>تعدل الأوزان قبل الاعتماد بما يعكس الواقع الفعلي للوظيفة، ويجب أن يكون مجموعها 100%.</w:t>
      </w:r>
    </w:p>
    <w:p>
      <w:pPr>
        <w:pStyle w:val="Heading1"/>
        <w:jc w:val="right"/>
        <w:bidi w:val="1"/>
      </w:pPr>
      <w:r/>
      <w:r>
        <w:rPr>
          <w:rFonts w:ascii="DejaVu Sans" w:hAnsi="DejaVu Sans" w:cs="DejaVu Sans" w:eastAsia="DejaVu Sans"/>
          <w:b/>
          <w:color w:val="087F5B"/>
          <w:sz w:val="31"/>
          <w:lang w:val="ar-SA" w:bidi="ar-SA"/>
        </w:rPr>
        <w:t>7. المؤهلات والخبرة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المتطلب</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بكالوريوس موارد بشرية أو إدارة أعمال أو تعليم أو تقنيات تعليم أو تخصص ذي صلة.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المؤهل العلمي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3-5 سنوات في التعلم والتطوير أو تطوير المواهب أو تصميم البرامج.</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الخبرة العملية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CIPD أو ATD أو شهادة في تصميم التعلم أو التدريب تعد ميزة إضافية.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الشهادات المهنية المفضلة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العربية ممتازة في التواصل والتيسير؛ الإنجليزية جيدة إلى متقدمة بحسب محتوى البرامج والموردين.</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اللغات</w:t>
            </w:r>
          </w:p>
        </w:tc>
      </w:tr>
    </w:tbl>
    <w:p>
      <w:pPr>
        <w:pStyle w:val="Heading1"/>
        <w:jc w:val="right"/>
        <w:bidi w:val="1"/>
      </w:pPr>
      <w:r/>
      <w:r>
        <w:rPr>
          <w:rFonts w:ascii="DejaVu Sans" w:hAnsi="DejaVu Sans" w:cs="DejaVu Sans" w:eastAsia="DejaVu Sans"/>
          <w:b/>
          <w:color w:val="087F5B"/>
          <w:sz w:val="31"/>
          <w:lang w:val="ar-SA" w:bidi="ar-SA"/>
        </w:rPr>
        <w:t>8. المعرفة والمهارات الفنية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مستوى الإتقان</w:t>
            </w:r>
          </w:p>
        </w:tc>
        <w:tc>
          <w:tcPr>
            <w:tcW w:type="dxa" w:w="71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المعرفة / المهارة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Training Needs Analysis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Instructional Design</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إدارة البرامج والمشاريع</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LMS وإدارة سجلات التعلم</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تقييم أثر التدريب</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إدارة الموردين والميزانية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التيسير والعروض</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تحليل بيانات التعلم</w:t>
            </w:r>
          </w:p>
        </w:tc>
      </w:tr>
    </w:tbl>
    <w:p>
      <w:pPr>
        <w:pStyle w:val="Heading1"/>
        <w:jc w:val="right"/>
        <w:bidi w:val="1"/>
      </w:pPr>
      <w:r/>
      <w:r>
        <w:rPr>
          <w:rFonts w:ascii="DejaVu Sans" w:hAnsi="DejaVu Sans" w:cs="DejaVu Sans" w:eastAsia="DejaVu Sans"/>
          <w:b/>
          <w:color w:val="087F5B"/>
          <w:sz w:val="31"/>
          <w:lang w:val="ar-SA" w:bidi="ar-SA"/>
        </w:rPr>
        <w:t>9. الكفاءات السلوكية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السلوك المتوقع</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الكفاءة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يسأل ما السلوك أو النتيجة التي يجب أن تتغير بعد التعلم.</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التركيز على الأثر</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لا يفترض أن كل فجوة أداء تحتاج دورة تدريبية.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التشخيص</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يوازن بين طلب المدير والأولوية المؤسسية والميزانية.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إدارة أصحاب المصلحة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يختار أبسط تدخل تعلم يحقق الهدف.</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التصميم الإبداعي</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يدير التفاصيل التشغيلية دون فقد الهدف التعلمي.</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التنفيذ المنضبط</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يجرب ويقيس ويعدل المحفظة بناء على البيانات.</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التعلم المستمر</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مقياس الإتقان: </w:t>
            </w:r>
            <w:r>
              <w:rPr>
                <w:rFonts w:ascii="DejaVu Sans" w:hAnsi="DejaVu Sans" w:cs="DejaVu Sans" w:eastAsia="DejaVu Sans"/>
                <w:b w:val="0"/>
                <w:color w:val="1F2937"/>
                <w:sz w:val="19"/>
                <w:lang w:val="ar-SA" w:bidi="ar-SA"/>
              </w:rPr>
              <w:t>1 = معرفة أساسية، 2 = تطبيق مستقل، 3 = مستوى متقدم وتوجيه الآخرين، 4 = مرجعية/خبير.</w:t>
            </w:r>
          </w:p>
        </w:tc>
      </w:tr>
    </w:tbl>
    <w:p>
      <w:pPr>
        <w:spacing w:after="0"/>
      </w:pPr>
    </w:p>
    <w:p>
      <w:pPr>
        <w:pStyle w:val="Heading1"/>
        <w:jc w:val="right"/>
        <w:bidi w:val="1"/>
      </w:pPr>
      <w:r/>
      <w:r>
        <w:rPr>
          <w:rFonts w:ascii="DejaVu Sans" w:hAnsi="DejaVu Sans" w:cs="DejaVu Sans" w:eastAsia="DejaVu Sans"/>
          <w:b/>
          <w:color w:val="087F5B"/>
          <w:sz w:val="31"/>
          <w:lang w:val="ar-SA" w:bidi="ar-SA"/>
        </w:rPr>
        <w:t>10. الصلاحيات وحدود اتخاذ القرار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8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التفاصيل</w:t>
            </w:r>
          </w:p>
        </w:tc>
        <w:tc>
          <w:tcPr>
            <w:tcW w:type="dxa" w:w="237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نوع القرار</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إعادة صياغة طلب تدريب لا يوضح فجوة أو هدفًا قابلًا للقياس.</w:t>
              <w:br/>
              <w:t>• اختيار أسلوب التعلم والمورد ضمن المعايير والميزانية المعتمدة.</w:t>
              <w:br/>
              <w:t>• طلب التزام المدير والمتدرب بأنشطة ما بعد التدريب.</w:t>
              <w:br/>
              <w:t>• إيقاف تسجيل أو برنامج لا يستوفي معايير الجودة وفق الإجراء.</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يجوز ضمن الصلاحية</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برنامج يتجاوز الميزانية أو نطاق التعاقد المعتمد.</w:t>
              <w:br/>
              <w:t>• طلب تدريب لا يعالج سبب الفجوة الحقيقي مع إصرار الجهة.</w:t>
              <w:br/>
              <w:t>• مورد ضعيف الأداء أو تضارب مصالح.</w:t>
              <w:br/>
              <w:t>• نتائج تقييم حساسة ستستخدم في قرار وظيفي.</w:t>
              <w:br/>
              <w:t>• محتوى إلزامي أو نظامي غير واضح المرجعية.</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يتطلب اعتمادًا/تصعيدًا</w:t>
            </w:r>
          </w:p>
        </w:tc>
      </w:tr>
    </w:tbl>
    <w:p>
      <w:pPr>
        <w:pStyle w:val="Heading1"/>
        <w:jc w:val="right"/>
        <w:bidi w:val="1"/>
      </w:pPr>
      <w:r/>
      <w:r>
        <w:rPr>
          <w:rFonts w:ascii="DejaVu Sans" w:hAnsi="DejaVu Sans" w:cs="DejaVu Sans" w:eastAsia="DejaVu Sans"/>
          <w:b/>
          <w:color w:val="087F5B"/>
          <w:sz w:val="31"/>
          <w:lang w:val="ar-SA" w:bidi="ar-SA"/>
        </w:rPr>
        <w:t>11. العلاقات الوظيفية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4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طبيعة العلاقة</w:t>
            </w:r>
          </w:p>
        </w:tc>
        <w:tc>
          <w:tcPr>
            <w:tcW w:type="dxa" w:w="28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الجهة / الطرف</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تحديد فجوات القدرات والأهداف والمتابعة بعد التدريب.</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المديرون</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المشاركة والتعلم وخطة التطبيق.</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الموظفون</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التعاقد والميزانية والدفع.</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المشتريات أو المالية</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التصميم والتنفيذ والجودة.</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مزودو التدريب</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ربط التطوير بالفجوات والمسارات والخطط الفردية.</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إدارة الأداء أو المواهب</w:t>
            </w:r>
          </w:p>
        </w:tc>
      </w:tr>
    </w:tbl>
    <w:p>
      <w:pPr>
        <w:pStyle w:val="Heading1"/>
        <w:jc w:val="right"/>
        <w:bidi w:val="1"/>
      </w:pPr>
      <w:r/>
      <w:r>
        <w:rPr>
          <w:rFonts w:ascii="DejaVu Sans" w:hAnsi="DejaVu Sans" w:cs="DejaVu Sans" w:eastAsia="DejaVu Sans"/>
          <w:b/>
          <w:color w:val="087F5B"/>
          <w:sz w:val="31"/>
          <w:lang w:val="ar-SA" w:bidi="ar-SA"/>
        </w:rPr>
        <w:t>12. حدود الدور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يقيس نجاح البرنامج بالحضور أو الرضا وحدهما عندما يكون المطلوب تغيير أداء.</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يشتري برنامجًا قبل توضيح الهدف والجمهور والمخرجات.</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يستخدم نتائج التقييم لتصنيف الموظف خارج الغرض المعلن دون ضوابط.</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يعمم برنامجًا ناجحًا على جميع الفئات دون اختبار الملاءمة.</w:t>
      </w:r>
    </w:p>
    <w:p>
      <w:pPr>
        <w:pStyle w:val="Heading1"/>
        <w:jc w:val="right"/>
        <w:bidi w:val="1"/>
      </w:pPr>
      <w:r/>
      <w:r>
        <w:rPr>
          <w:rFonts w:ascii="DejaVu Sans" w:hAnsi="DejaVu Sans" w:cs="DejaVu Sans" w:eastAsia="DejaVu Sans"/>
          <w:b/>
          <w:color w:val="087F5B"/>
          <w:sz w:val="31"/>
          <w:lang w:val="ar-SA" w:bidi="ar-SA"/>
        </w:rPr>
        <w:t>13. متى يجب التصعيد فورًا؟</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طلب تدريب عاجل بلا تعريف للمشكلة أو الجمهور.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تكلفة مرتفعة مقابل عدد محدود دون مبرر أو بديل.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معدل إكمال ضعيف أو انسحاب متكرر من برنامج رئيسي.</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رضا مرتفع لكن لا يوجد تعلم أو تطبيق في العمل.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مورد يطلب بيانات موظفين أكثر من اللازم.</w:t>
      </w:r>
    </w:p>
    <w:p>
      <w:pPr>
        <w:pStyle w:val="Heading1"/>
        <w:jc w:val="right"/>
        <w:bidi w:val="1"/>
      </w:pPr>
      <w:r/>
      <w:r>
        <w:rPr>
          <w:rFonts w:ascii="DejaVu Sans" w:hAnsi="DejaVu Sans" w:cs="DejaVu Sans" w:eastAsia="DejaVu Sans"/>
          <w:b/>
          <w:color w:val="087F5B"/>
          <w:sz w:val="31"/>
          <w:lang w:val="ar-SA" w:bidi="ar-SA"/>
        </w:rPr>
        <w:t>14. مؤشرات الأداء الرئيسية KPIs</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المستهدف الاسترشادي</w:t>
            </w:r>
          </w:p>
        </w:tc>
        <w:tc>
          <w:tcPr>
            <w:tcW w:type="dxa" w:w="453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طريقة القياس</w:t>
            </w:r>
          </w:p>
        </w:tc>
        <w:tc>
          <w:tcPr>
            <w:tcW w:type="dxa" w:w="280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المؤشر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البرامج المنفذة من الخطة المعتمدة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تنفيذ الخطة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المكملون ÷ المسجلون</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نسبة الإكمال</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متوسط تقييم التجربة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رضا التعلم</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نتائج قبل وبعد أو تقييم مهارة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تحقق أهداف التعلم</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متابعة المدير أو المتعلم بعد 30-90 يومًا</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تطبيق التعلم</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5%</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الانحراف عن الميزانية المعتمدة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الالتزام بالميزانية</w:t>
            </w:r>
          </w:p>
        </w:tc>
      </w:tr>
    </w:tbl>
    <w:p>
      <w:pPr>
        <w:spacing w:after="100" w:line="264" w:lineRule="auto"/>
        <w:jc w:val="right"/>
        <w:bidi w:val="1"/>
      </w:pPr>
      <w:r>
        <w:rPr>
          <w:rFonts w:ascii="DejaVu Sans" w:hAnsi="DejaVu Sans" w:cs="DejaVu Sans" w:eastAsia="DejaVu Sans"/>
          <w:b w:val="0"/>
          <w:color w:val="667085"/>
          <w:sz w:val="17"/>
          <w:lang w:val="ar-SA" w:bidi="ar-SA"/>
        </w:rPr>
        <w:t>المستهدفات استرشادية؛ تعتمد الأهداف النهائية وفق حجم المنشأة ومستوى الوظيفة واتفاقيات مستوى الخدمة الداخلية.</w:t>
      </w:r>
    </w:p>
    <w:p>
      <w:pPr>
        <w:pStyle w:val="Heading1"/>
        <w:jc w:val="right"/>
        <w:bidi w:val="1"/>
      </w:pPr>
      <w:r/>
      <w:r>
        <w:rPr>
          <w:rFonts w:ascii="DejaVu Sans" w:hAnsi="DejaVu Sans" w:cs="DejaVu Sans" w:eastAsia="DejaVu Sans"/>
          <w:b/>
          <w:color w:val="087F5B"/>
          <w:sz w:val="31"/>
          <w:lang w:val="ar-SA" w:bidi="ar-SA"/>
        </w:rPr>
        <w:t>15. المخاطر والضوابط المرتبطة بالدور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489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الضابط المقترح</w:t>
            </w:r>
          </w:p>
        </w:tc>
        <w:tc>
          <w:tcPr>
            <w:tcW w:type="dxa" w:w="446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الخطر</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TNA وتحليل سبب الفجوة قبل الموافقة.</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تدريب لا يعالج المشكلة</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أولويات وعائد متوقع ومراجعة أداء المورد.</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هدر ميزانية</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خطة نقل تعلم ومتابعة المدير.</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ضعف التطبيق بعد التدريب</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صلاحيات وبيان غرض استخدام واضح.</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تسريب نتائج تقييم</w:t>
            </w:r>
          </w:p>
        </w:tc>
      </w:tr>
    </w:tbl>
    <w:p>
      <w:pPr>
        <w:pStyle w:val="Heading1"/>
        <w:jc w:val="right"/>
        <w:bidi w:val="1"/>
      </w:pPr>
      <w:r/>
      <w:r>
        <w:rPr>
          <w:rFonts w:ascii="DejaVu Sans" w:hAnsi="DejaVu Sans" w:cs="DejaVu Sans" w:eastAsia="DejaVu Sans"/>
          <w:b/>
          <w:color w:val="087F5B"/>
          <w:sz w:val="31"/>
          <w:lang w:val="ar-SA" w:bidi="ar-SA"/>
        </w:rPr>
        <w:t>16. متطلبات أول 90 يومًا</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2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216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الفترة</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فهم استراتيجية الأعمال والكفاءات وخطة التعلم الحالية والميزانية.</w:t>
              <w:br/>
              <w:t>• مراجعة بيانات الحضور والتقييم والموردين للبرامج السابقة.</w:t>
              <w:br/>
              <w:t>• التعرف على LMS ومسار الاعتماد والتعاقد.</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أول 30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إدارة برنامج من الاحتياج حتى التنفيذ والقياس الأولي.</w:t>
              <w:br/>
              <w:t>• إعادة صياغة طلبات تدريب إلى أهداف تعلم ومخرجات واضحة.</w:t>
              <w:br/>
              <w:t>• إعداد Dashboard أولية للتغطية والتكلفة والإكمال.</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31-60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إدارة محفظة برامج ضمن الخطة والميزانية.</w:t>
              <w:br/>
              <w:t>• تقديم تحليل أثر لبرنامج واحد على الأقل يتجاوز الرضا.</w:t>
              <w:br/>
              <w:t>• اقتراح إيقاف أو تعديل أو توسيع برنامج بناء على البيانات.</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61-90 يومًا</w:t>
            </w:r>
          </w:p>
        </w:tc>
      </w:tr>
    </w:tbl>
    <w:p>
      <w:pPr>
        <w:pStyle w:val="Heading1"/>
        <w:jc w:val="right"/>
        <w:bidi w:val="1"/>
      </w:pPr>
      <w:r/>
      <w:r>
        <w:rPr>
          <w:rFonts w:ascii="DejaVu Sans" w:hAnsi="DejaVu Sans" w:cs="DejaVu Sans" w:eastAsia="DejaVu Sans"/>
          <w:b/>
          <w:color w:val="087F5B"/>
          <w:sz w:val="31"/>
          <w:lang w:val="ar-SA" w:bidi="ar-SA"/>
        </w:rPr>
        <w:t>17. المسار المهني والاستمرارية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منسق تدريب / أخصائي موارد بشرية / Learning Coordinator</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سابقة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تعلم وتطوير أول / Talent Development Partner / L&amp;D Manager</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تطور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[يحدد البديل وفق خطة الاستمرارية]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بديل الوظيفة عند الغياب</w:t>
            </w:r>
          </w:p>
        </w:tc>
      </w:tr>
    </w:tbl>
    <w:p>
      <w:pPr>
        <w:pStyle w:val="Heading1"/>
        <w:jc w:val="right"/>
        <w:bidi w:val="1"/>
      </w:pPr>
      <w:r/>
      <w:r>
        <w:rPr>
          <w:rFonts w:ascii="DejaVu Sans" w:hAnsi="DejaVu Sans" w:cs="DejaVu Sans" w:eastAsia="DejaVu Sans"/>
          <w:b/>
          <w:color w:val="087F5B"/>
          <w:sz w:val="31"/>
          <w:lang w:val="ar-SA" w:bidi="ar-SA"/>
        </w:rPr>
        <w:t>18. ظروف ومتطلبات العمل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قد تتطلب الوظيفة العمل في مواقع التدريب أو خارج ساعات العمل المعتادة حسب البرنامج.</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تواصل متكرر مع موردين ومدربين وموظفين من مستويات مختلفة.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قد يتطلب السفر لتنفيذ برامج في مواقع متعددة.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تعتمد بعض الفترات على مواسم الخطط والميزانيات والبرامج الكبرى.</w:t>
      </w:r>
    </w:p>
    <w:p>
      <w:pPr>
        <w:pStyle w:val="Heading1"/>
        <w:jc w:val="right"/>
        <w:bidi w:val="1"/>
      </w:pPr>
      <w:r/>
      <w:r>
        <w:rPr>
          <w:rFonts w:ascii="DejaVu Sans" w:hAnsi="DejaVu Sans" w:cs="DejaVu Sans" w:eastAsia="DejaVu Sans"/>
          <w:b/>
          <w:color w:val="087F5B"/>
          <w:sz w:val="31"/>
          <w:lang w:val="ar-SA" w:bidi="ar-SA"/>
        </w:rPr>
        <w:t>19. قائمة التخصيص قبل الاعتماد</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تأكيد المسمى والدرجة والعائلة الوظيفية وموقع الوظيفة في الهيكل.</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التحقق من أن المسؤوليات تعكس العمل الفعلي ولا تتداخل جوهريًا مع وظيفة أخرى.</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نطاق الأثر: الموظفون/الإدارات/المواقع/حجم العمليات.</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الصلاحيات وحدود القرار والتصعيد وفق مصفوفة الصلاحيات.</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المؤهل والخبرة لتجنب اشتراطات أعلى من الحاجة الفعلية.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اعتماد المهارات والكفاءات ومستويات الإتقان قبل الإعلان أو التقييم.</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تحويل KPIs الاسترشادية إلى مستهدفات قابلة للقياس.</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ظروف العمل واللغة والسفر والمتطلبات الخاصة.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الوصف مع المدير المباشر والموارد البشرية وصاحب الصلاحية.</w:t>
      </w:r>
    </w:p>
    <w:p>
      <w:pPr>
        <w:pStyle w:val="Heading1"/>
        <w:jc w:val="right"/>
        <w:bidi w:val="1"/>
      </w:pPr>
      <w:r/>
      <w:r>
        <w:rPr>
          <w:rFonts w:ascii="DejaVu Sans" w:hAnsi="DejaVu Sans" w:cs="DejaVu Sans" w:eastAsia="DejaVu Sans"/>
          <w:b/>
          <w:color w:val="087F5B"/>
          <w:sz w:val="31"/>
          <w:lang w:val="ar-SA" w:bidi="ar-SA"/>
        </w:rPr>
        <w:t>20. سجل الاعتماد</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482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الاسم / المسمى</w:t>
            </w:r>
          </w:p>
        </w:tc>
        <w:tc>
          <w:tcPr>
            <w:tcW w:type="dxa" w:w="252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الإجراء</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أعد الوصف</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راجعه المدير المباشر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راجعته الموارد البشرية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اعتمده صاحب الصلاحية</w:t>
            </w:r>
          </w:p>
        </w:tc>
      </w:tr>
    </w:tbl>
    <w:p>
      <w:pPr>
        <w:pStyle w:val="Heading1"/>
        <w:jc w:val="right"/>
        <w:bidi w:val="1"/>
      </w:pPr>
      <w:r/>
      <w:r>
        <w:rPr>
          <w:rFonts w:ascii="DejaVu Sans" w:hAnsi="DejaVu Sans" w:cs="DejaVu Sans" w:eastAsia="DejaVu Sans"/>
          <w:b/>
          <w:color w:val="087F5B"/>
          <w:sz w:val="31"/>
          <w:lang w:val="ar-SA" w:bidi="ar-SA"/>
        </w:rPr>
        <w:t>21. سجل التعديلات</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59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وصف التعديل</w:t>
            </w:r>
          </w:p>
        </w:tc>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144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الإصدار</w:t>
            </w:r>
          </w:p>
        </w:tc>
      </w:tr>
      <w:tr>
        <w:tc>
          <w:tcPr>
            <w:tcW w:type="dxa" w:w="59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[وصف التعديل]</w:t>
            </w:r>
          </w:p>
        </w:tc>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144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مرجعيات التخصيص: </w:t>
            </w:r>
            <w:r>
              <w:rPr>
                <w:rFonts w:ascii="DejaVu Sans" w:hAnsi="DejaVu Sans" w:cs="DejaVu Sans" w:eastAsia="DejaVu Sans"/>
                <w:b w:val="0"/>
                <w:color w:val="1F2937"/>
                <w:sz w:val="19"/>
                <w:lang w:val="ar-SA" w:bidi="ar-SA"/>
              </w:rPr>
              <w:t>الهيكل التنظيمي، معمارية الوظائف والدرجات، مصفوفة الصلاحيات، سياسات الموارد البشرية، إجراءات العمل، ومتطلبات الأنظمة واللوائح ذات العلاقة بحسب ما ينطبق.</w:t>
            </w:r>
          </w:p>
        </w:tc>
      </w:tr>
    </w:tbl>
    <w:p>
      <w:pPr>
        <w:spacing w:after="0"/>
      </w:pPr>
    </w:p>
    <w:sectPr w:rsidR="00FC693F" w:rsidRPr="0006063C" w:rsidSect="00034616">
      <w:headerReference w:type="default" r:id="rId9"/>
      <w:footerReference w:type="default" r:id="rId10"/>
      <w:pgSz w:w="12240" w:h="15840"/>
      <w:pgMar w:top="1080" w:right="1224" w:bottom="1080" w:left="1224"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bidi w:val="1"/>
    </w:pPr>
    <w:r/>
    <w:r>
      <w:rPr>
        <w:rFonts w:ascii="DejaVu Sans" w:hAnsi="DejaVu Sans" w:cs="DejaVu Sans" w:eastAsia="DejaVu Sans"/>
        <w:b w:val="0"/>
        <w:color w:val="667085"/>
        <w:sz w:val="18"/>
        <w:lang w:val="ar-SA" w:bidi="ar-SA"/>
      </w:rPr>
      <w:t xml:space="preserve">صفحة </w:t>
    </w:r>
    <w:r>
      <w:rPr>
        <w:rFonts w:ascii="DejaVu Sans" w:hAnsi="DejaVu Sans" w:cs="DejaVu Sans" w:eastAsia="DejaVu Sans"/>
        <w:b w:val="0"/>
        <w:color w:val="667085"/>
        <w:sz w:val="18"/>
        <w:lang w:val="ar-SA" w:bidi="ar-SA"/>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bidi w:val="1"/>
    </w:pPr>
    <w:r/>
    <w:r>
      <w:rPr>
        <w:rFonts w:ascii="DejaVu Sans" w:hAnsi="DejaVu Sans" w:cs="DejaVu Sans" w:eastAsia="DejaVu Sans"/>
        <w:b w:val="0"/>
        <w:color w:val="087F5B"/>
        <w:sz w:val="18"/>
        <w:lang w:val="ar-SA" w:bidi="ar-SA"/>
      </w:rPr>
      <w:t>مجد | نموذج وصف وظيفي | أخصائي تدريب وتطوير</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jc w:val="right"/>
    </w:pPr>
    <w:rPr>
      <w:rFonts w:ascii="DejaVu Sans" w:hAnsi="DejaVu Sans"/>
      <w:color w:val="1F2937"/>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100"/>
      <w:jc w:val="right"/>
      <w:outlineLvl w:val="0"/>
    </w:pPr>
    <w:rPr>
      <w:rFonts w:asciiTheme="majorHAnsi" w:eastAsiaTheme="majorEastAsia" w:hAnsiTheme="majorHAnsi" w:cstheme="majorBidi" w:ascii="DejaVu Sans" w:hAnsi="DejaVu Sans"/>
      <w:b/>
      <w:bCs/>
      <w:color w:val="087F5B"/>
      <w:sz w:val="31"/>
      <w:szCs w:val="28"/>
    </w:rPr>
  </w:style>
  <w:style w:type="paragraph" w:styleId="Heading2">
    <w:name w:val="heading 2"/>
    <w:basedOn w:val="Normal"/>
    <w:next w:val="Normal"/>
    <w:link w:val="Heading2Char"/>
    <w:uiPriority w:val="9"/>
    <w:unhideWhenUsed/>
    <w:qFormat/>
    <w:rsid w:val="00FC693F"/>
    <w:pPr>
      <w:keepNext/>
      <w:keepLines/>
      <w:spacing w:before="180" w:after="100"/>
      <w:jc w:val="right"/>
      <w:outlineLvl w:val="1"/>
    </w:pPr>
    <w:rPr>
      <w:rFonts w:asciiTheme="majorHAnsi" w:eastAsiaTheme="majorEastAsia" w:hAnsiTheme="majorHAnsi" w:cstheme="majorBidi" w:ascii="DejaVu Sans" w:hAnsi="DejaVu Sans"/>
      <w:b/>
      <w:bCs/>
      <w:color w:val="087F5B"/>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