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160"/>
        <w:jc w:val="center"/>
        <w:bidi w:val="1"/>
      </w:pPr>
      <w:r>
        <w:rPr>
          <w:rFonts w:ascii="DejaVu Sans" w:hAnsi="DejaVu Sans" w:cs="DejaVu Sans" w:eastAsia="DejaVu Sans"/>
          <w:b/>
          <w:color w:val="087F5B"/>
          <w:sz w:val="24"/>
          <w:lang w:val="ar-SA" w:bidi="ar-SA"/>
        </w:rPr>
        <w:t>نموذج الأوصاف الوظيفية</w:t>
      </w:r>
    </w:p>
    <w:p>
      <w:pPr>
        <w:spacing w:after="40"/>
        <w:jc w:val="center"/>
        <w:bidi w:val="1"/>
      </w:pPr>
      <w:r>
        <w:rPr>
          <w:rFonts w:ascii="DejaVu Sans" w:hAnsi="DejaVu Sans" w:cs="DejaVu Sans" w:eastAsia="DejaVu Sans"/>
          <w:b/>
          <w:color w:val="17243A"/>
          <w:sz w:val="36"/>
          <w:lang w:val="ar-SA" w:bidi="ar-SA"/>
        </w:rPr>
        <w:t>أخصائي دعم تقنية المعلومات</w:t>
      </w:r>
    </w:p>
    <w:p>
      <w:pPr>
        <w:spacing w:after="40"/>
        <w:jc w:val="center"/>
        <w:bidi w:val="1"/>
      </w:pPr>
      <w:r>
        <w:rPr>
          <w:rFonts w:ascii="DejaVu Sans" w:hAnsi="DejaVu Sans" w:cs="DejaVu Sans" w:eastAsia="DejaVu Sans"/>
          <w:b w:val="0"/>
          <w:color w:val="667085"/>
          <w:sz w:val="21"/>
          <w:lang w:val="ar-SA" w:bidi="ar-SA"/>
        </w:rPr>
        <w:t>IT Support Specialist</w:t>
      </w:r>
    </w:p>
    <w:p>
      <w:pPr>
        <w:spacing w:after="280"/>
        <w:jc w:val="center"/>
        <w:bidi w:val="1"/>
      </w:pPr>
      <w:r>
        <w:rPr>
          <w:rFonts w:ascii="DejaVu Sans" w:hAnsi="DejaVu Sans" w:cs="DejaVu Sans" w:eastAsia="DejaVu Sans"/>
          <w:b w:val="0"/>
          <w:color w:val="667085"/>
          <w:sz w:val="20"/>
          <w:lang w:val="ar-SA" w:bidi="ar-SA"/>
        </w:rPr>
        <w:t>قالب استرشادي عام قابل للتخصيص للمنشآت في المملكة العربية السعودية</w:t>
      </w:r>
    </w:p>
    <w:tbl>
      <w:tblPr>
        <w:tblStyle w:val="TableGrid"/>
        <w:tblW w:type="auto" w:w="0"/>
        <w:jc w:val="center"/>
        <w:tblLook w:firstColumn="1" w:firstRow="1" w:lastColumn="0" w:lastRow="0" w:noHBand="0" w:noVBand="1" w:val="04A0"/>
      </w:tblPr>
      <w:tblGrid>
        <w:gridCol w:w="2448"/>
        <w:gridCol w:w="2448"/>
        <w:gridCol w:w="2448"/>
        <w:gridCol w:w="2448"/>
      </w:tblGrid>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JD-IT-010</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رمز الوثيقة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[اسم المنشأة]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اسم المنشأة</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تاريخ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[1.0]</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الإصدار</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[صاحب الصلاحية]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جهة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إدارة الموارد البشرية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مالك الوصف</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المراجعة القادمة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سنويًا أو عند تغير نطاق الوظيفة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دورية المراجعة</w:t>
            </w:r>
          </w:p>
        </w:tc>
      </w:tr>
    </w:tbl>
    <w:p>
      <w:pPr>
        <w:spacing w:after="0"/>
      </w:pPr>
    </w:p>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طريقة الاستخدام: </w:t>
            </w:r>
            <w:r>
              <w:rPr>
                <w:rFonts w:ascii="DejaVu Sans" w:hAnsi="DejaVu Sans" w:cs="DejaVu Sans" w:eastAsia="DejaVu Sans"/>
                <w:b w:val="0"/>
                <w:color w:val="1F2937"/>
                <w:sz w:val="19"/>
                <w:lang w:val="ar-SA" w:bidi="ar-SA"/>
              </w:rPr>
              <w:t>استبدل النصوص الزرقاء بين الأقواس [ ] ببيانات المنشأة، وراجع نطاق المسؤوليات والمؤهلات والصلاحيات ومؤشرات الأداء قبل الاعتماد.</w:t>
            </w:r>
          </w:p>
        </w:tc>
      </w:tr>
    </w:tbl>
    <w:p>
      <w:pPr>
        <w:spacing w:after="0"/>
      </w:pPr>
    </w:p>
    <w:tbl>
      <w:tblPr>
        <w:tblW w:type="auto" w:w="0"/>
        <w:jc w:val="center"/>
        <w:tblLook w:firstColumn="1" w:firstRow="1" w:lastColumn="0" w:lastRow="0" w:noHBand="0" w:noVBand="1" w:val="04A0"/>
      </w:tblPr>
      <w:tblGrid>
        <w:gridCol w:w="9792"/>
      </w:tblGrid>
      <w:tr>
        <w:tc>
          <w:tcPr>
            <w:tcW w:type="dxa" w:w="9792"/>
            <w:shd w:fill="FFF4E5"/>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B26A00"/>
                <w:sz w:val="19"/>
                <w:lang w:val="ar-SA" w:bidi="ar-SA"/>
              </w:rPr>
              <w:t xml:space="preserve">تنبيه مهم: </w:t>
            </w:r>
            <w:r>
              <w:rPr>
                <w:rFonts w:ascii="DejaVu Sans" w:hAnsi="DejaVu Sans" w:cs="DejaVu Sans" w:eastAsia="DejaVu Sans"/>
                <w:b w:val="0"/>
                <w:color w:val="1F2937"/>
                <w:sz w:val="19"/>
                <w:lang w:val="ar-SA" w:bidi="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pPr>
        <w:spacing w:after="0"/>
      </w:pPr>
    </w:p>
    <w:p>
      <w:pPr>
        <w:jc w:val="center"/>
        <w:bidi w:val="1"/>
      </w:pPr>
      <w:r>
        <w:rPr>
          <w:rFonts w:ascii="DejaVu Sans" w:hAnsi="DejaVu Sans" w:cs="DejaVu Sans" w:eastAsia="DejaVu Sans"/>
          <w:b w:val="0"/>
          <w:color w:val="667085"/>
          <w:sz w:val="18"/>
          <w:lang w:val="ar-SA" w:bidi="ar-SA"/>
        </w:rPr>
        <w:t>إعداد استرشادي للنشر ضمن نماذج مجد</w:t>
      </w:r>
    </w:p>
    <w:p>
      <w:r>
        <w:br w:type="page"/>
      </w:r>
    </w:p>
    <w:p>
      <w:pPr>
        <w:pStyle w:val="Heading1"/>
        <w:jc w:val="right"/>
        <w:bidi w:val="1"/>
      </w:pPr>
      <w:r/>
      <w:r>
        <w:rPr>
          <w:rFonts w:ascii="DejaVu Sans" w:hAnsi="DejaVu Sans" w:cs="DejaVu Sans" w:eastAsia="DejaVu Sans"/>
          <w:b/>
          <w:color w:val="087F5B"/>
          <w:sz w:val="31"/>
          <w:lang w:val="ar-SA" w:bidi="ar-SA"/>
        </w:rPr>
        <w:t>1. بطاقة الوظيفة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البيانات</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دعم تقنية المعلومات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IT Support Specialist</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بالإنجليزية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تقنية المعلومات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العائلة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تقنية المعلومات / دعم المستخدمين</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الإدارة / القسم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[مشرف الدعم الفني / مدير تقنية المعلومات]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الرئيس المباشر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لا يوجد / [حسب الهيكل]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المرؤوسون المباشرون</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المستوى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[الدرجة المعتمدة]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الدرجة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[المدينة /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موقع العمل</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[حضوري / هجين / عن بعد]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نمط العمل</w:t>
            </w:r>
          </w:p>
        </w:tc>
      </w:tr>
    </w:tbl>
    <w:p>
      <w:pPr>
        <w:pStyle w:val="Heading1"/>
        <w:jc w:val="right"/>
        <w:bidi w:val="1"/>
      </w:pPr>
      <w:r/>
      <w:r>
        <w:rPr>
          <w:rFonts w:ascii="DejaVu Sans" w:hAnsi="DejaVu Sans" w:cs="DejaVu Sans" w:eastAsia="DejaVu Sans"/>
          <w:b/>
          <w:color w:val="087F5B"/>
          <w:sz w:val="31"/>
          <w:lang w:val="ar-SA" w:bidi="ar-SA"/>
        </w:rPr>
        <w:t>2. الغرض من الوظيفة</w:t>
      </w:r>
    </w:p>
    <w:p>
      <w:pPr>
        <w:spacing w:after="100" w:line="264" w:lineRule="auto"/>
        <w:jc w:val="right"/>
        <w:bidi w:val="1"/>
      </w:pPr>
      <w:r>
        <w:rPr>
          <w:rFonts w:ascii="DejaVu Sans" w:hAnsi="DejaVu Sans" w:cs="DejaVu Sans" w:eastAsia="DejaVu Sans"/>
          <w:b w:val="0"/>
          <w:color w:val="1F2937"/>
          <w:sz w:val="20"/>
          <w:lang w:val="ar-SA" w:bidi="ar-SA"/>
        </w:rPr>
        <w:t>تقديم دعم تقني آمن وفعال للمستخدمين والأجهزة والتطبيقات من خلال استقبال البلاغات وتشخيص الأعطال وحلها أو تصعيدها، وإدارة حسابات وأصول تقنية ضمن الصلاحيات، وتوثيق الحلول بما يقلل التوقف ويحسن تجربة المستخدم.</w:t>
      </w:r>
    </w:p>
    <w:p>
      <w:pPr>
        <w:pStyle w:val="Heading1"/>
        <w:jc w:val="right"/>
        <w:bidi w:val="1"/>
      </w:pPr>
      <w:r/>
      <w:r>
        <w:rPr>
          <w:rFonts w:ascii="DejaVu Sans" w:hAnsi="DejaVu Sans" w:cs="DejaVu Sans" w:eastAsia="DejaVu Sans"/>
          <w:b/>
          <w:color w:val="087F5B"/>
          <w:sz w:val="31"/>
          <w:lang w:val="ar-SA" w:bidi="ar-SA"/>
        </w:rPr>
        <w:t>3. سياق الوظيفة ونطاق الأثر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البعد</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[حجم العملاء/المعاملات/المشاريع بحسب الدور]</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حجم النطاق المخدوم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الإدارات/المواقع/المنطقة]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النطاق التنظيمي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مباشر على استمرارية العمل وإنتاجية المستخدمين وأمن الوصول وجودة إدارة الأصول التقنية.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طبيعة الأثر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يعالج الأعطال القياسية ويطبق التغييرات المصرح بها؛ الصلاحيات المرتفعة والتغييرات الإنتاجية والحوادث الأمنية الكبرى تصعد.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مستوى الاستقلالية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عالية - حسابات وصلاحيات وأجهزة وسجلات تقنية وبيانات قد تظهر أثناء الدعم</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حساسية المعلومات</w:t>
            </w:r>
          </w:p>
        </w:tc>
      </w:tr>
    </w:tbl>
    <w:p>
      <w:pPr>
        <w:pStyle w:val="Heading1"/>
        <w:jc w:val="right"/>
        <w:bidi w:val="1"/>
      </w:pPr>
      <w:r/>
      <w:r>
        <w:rPr>
          <w:rFonts w:ascii="DejaVu Sans" w:hAnsi="DejaVu Sans" w:cs="DejaVu Sans" w:eastAsia="DejaVu Sans"/>
          <w:b/>
          <w:color w:val="087F5B"/>
          <w:sz w:val="31"/>
          <w:lang w:val="ar-SA" w:bidi="ar-SA"/>
        </w:rPr>
        <w:t>4. النتائج الرئيسية المتوقعة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بلاغات تحل ضمن SLA وبأقل توقف ممكن.</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حسابات وصلاحيات تنشأ وتعدل وتلغى وفق طلبات معتمدة.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أجهزة وأصول مسجلة ومحدثة طوال دورة حياتها.</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حلول متكررة تتحول إلى Knowledge Base.</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الحوادث الأمنية المحتملة تصعد بسرعة دون محاولة إخفائها كعطل عادي.</w:t>
      </w:r>
    </w:p>
    <w:p>
      <w:pPr>
        <w:pStyle w:val="Heading1"/>
        <w:jc w:val="right"/>
        <w:bidi w:val="1"/>
      </w:pPr>
      <w:r/>
      <w:r>
        <w:rPr>
          <w:rFonts w:ascii="DejaVu Sans" w:hAnsi="DejaVu Sans" w:cs="DejaVu Sans" w:eastAsia="DejaVu Sans"/>
          <w:b/>
          <w:color w:val="087F5B"/>
          <w:sz w:val="31"/>
          <w:lang w:val="ar-SA" w:bidi="ar-SA"/>
        </w:rPr>
        <w:t>5. المسؤوليات والمهام الرئيسية</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54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المهام والمسؤوليات</w:t>
            </w:r>
          </w:p>
        </w:tc>
        <w:tc>
          <w:tcPr>
            <w:tcW w:type="dxa" w:w="17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مجال المسؤولية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Ticket واضح وقابل للمتابعة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استقبال التذاكر وتصنيفها حسب الأثر والأولوية.</w:t>
              <w:br/>
              <w:t>• جمع المعلومات اللازمة للتشخيص.</w:t>
              <w:br/>
              <w:t>• تحديث المستخدم بالحالة والوقت المتوقع.</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إدارة البلاغات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خدمة مستعادة بأمان</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تشخيص مشاكل الأجهزة والنظام والتطبيقات والشبكة الأساسية.</w:t>
              <w:br/>
              <w:t>• تطبيق الحلول المعتمدة والتحقق بعد التنفيذ.</w:t>
              <w:br/>
              <w:t>• تصعيد الأعطال المتخصصة مع سجل كامل.</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استكشاف الأعطال</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وصول صحيح ومصرح</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تنفيذ إنشاء وتعديل وإلغاء الحسابات بعد اعتماد الطلب.</w:t>
              <w:br/>
              <w:t>• تطبيق مبدأ أقل صلاحية.</w:t>
              <w:br/>
              <w:t>• التحقق من هوية المستخدم قبل إجراءات الاستعادة الحساسة.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الحسابات والوصول</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سجل أصول دقيق</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تجهيز وتسليم واسترجاع الأجهزة.</w:t>
              <w:br/>
              <w:t>• تحديث السجل والرقم التسلسلي والحالة والمالك.</w:t>
              <w:br/>
              <w:t>• تنسيق الإصلاح أو الاستبدال والتخلص الآمن.</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الأجهزة والأصول</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مستخدم منتج وبيئة منضبطة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دعم تطبيقات العمل القياسية.</w:t>
              <w:br/>
              <w:t>• تثبيت البرامج المعتمدة فقط.</w:t>
              <w:br/>
              <w:t>• إرشاد المستخدم إلى الممارسات الصحيحة وتقليل تكرار الخطأ.</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التطبيقات والمستخدمون</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Knowledge Base وإنذار مبكر</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توثيق الحلول المتكررة.</w:t>
              <w:br/>
              <w:t>• رصد مؤشرات التصيد أو البرمجيات الضارة أو الوصول غير المعتاد.</w:t>
              <w:br/>
              <w:t>• تصعيد الحوادث وفق خطة الاستجابة.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المعرفة والأمن</w:t>
            </w:r>
          </w:p>
        </w:tc>
      </w:tr>
    </w:tbl>
    <w:p>
      <w:pPr>
        <w:pStyle w:val="Heading1"/>
        <w:jc w:val="right"/>
        <w:bidi w:val="1"/>
      </w:pPr>
      <w:r/>
      <w:r>
        <w:rPr>
          <w:rFonts w:ascii="DejaVu Sans" w:hAnsi="DejaVu Sans" w:cs="DejaVu Sans" w:eastAsia="DejaVu Sans"/>
          <w:b/>
          <w:color w:val="087F5B"/>
          <w:sz w:val="31"/>
          <w:lang w:val="ar-SA" w:bidi="ar-SA"/>
        </w:rPr>
        <w:t>6. توزيع المسؤوليات الاسترشادي</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الوزن المقترح</w:t>
            </w:r>
          </w:p>
        </w:tc>
        <w:tc>
          <w:tcPr>
            <w:tcW w:type="dxa" w:w="734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المجال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40%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الدعم وحل البلاغات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الحسابات والأجهزة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التطبيقات والمستخدمون</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الأصول والمعرفة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الأمن والحوادث</w:t>
            </w:r>
          </w:p>
        </w:tc>
      </w:tr>
    </w:tbl>
    <w:p>
      <w:pPr>
        <w:spacing w:after="0" w:line="264" w:lineRule="auto"/>
        <w:jc w:val="right"/>
        <w:bidi w:val="1"/>
      </w:pPr>
      <w:r>
        <w:rPr>
          <w:rFonts w:ascii="DejaVu Sans" w:hAnsi="DejaVu Sans" w:cs="DejaVu Sans" w:eastAsia="DejaVu Sans"/>
          <w:b w:val="0"/>
          <w:color w:val="667085"/>
          <w:sz w:val="18"/>
          <w:lang w:val="ar-SA" w:bidi="ar-SA"/>
        </w:rPr>
        <w:t>تعدل الأوزان قبل الاعتماد بما يعكس الواقع الفعلي للوظيفة، ويجب أن يكون مجموعها 100%.</w:t>
      </w:r>
    </w:p>
    <w:p>
      <w:pPr>
        <w:pStyle w:val="Heading1"/>
        <w:jc w:val="right"/>
        <w:bidi w:val="1"/>
      </w:pPr>
      <w:r/>
      <w:r>
        <w:rPr>
          <w:rFonts w:ascii="DejaVu Sans" w:hAnsi="DejaVu Sans" w:cs="DejaVu Sans" w:eastAsia="DejaVu Sans"/>
          <w:b/>
          <w:color w:val="087F5B"/>
          <w:sz w:val="31"/>
          <w:lang w:val="ar-SA" w:bidi="ar-SA"/>
        </w:rPr>
        <w:t>7. المؤهلات والخبرة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المتطلب</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دبلوم أو بكالوريوس في تقنية المعلومات أو علوم الحاسب أو نظم المعلومات أو تخصص ذي صلة.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المؤهل العلمي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1-3 سنوات في الدعم الفني أو Service Desk أو إدارة أجهزة المستخدمين.</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الخبرة العملية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CompTIA A+/Network+ أو ITIL Foundation أو Microsoft Fundamentals تعد ميزة إضافية.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الشهادات المهنية المفضلة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العربية والإنجليزية بمستوى يسمح بفهم الوثائق التقنية والتواصل مع المستخدمين والموردين.</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اللغات</w:t>
            </w:r>
          </w:p>
        </w:tc>
      </w:tr>
    </w:tbl>
    <w:p>
      <w:pPr>
        <w:pStyle w:val="Heading1"/>
        <w:jc w:val="right"/>
        <w:bidi w:val="1"/>
      </w:pPr>
      <w:r/>
      <w:r>
        <w:rPr>
          <w:rFonts w:ascii="DejaVu Sans" w:hAnsi="DejaVu Sans" w:cs="DejaVu Sans" w:eastAsia="DejaVu Sans"/>
          <w:b/>
          <w:color w:val="087F5B"/>
          <w:sz w:val="31"/>
          <w:lang w:val="ar-SA" w:bidi="ar-SA"/>
        </w:rPr>
        <w:t>8. المعرفة والمهارات الفنية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مستوى الإتقان</w:t>
            </w:r>
          </w:p>
        </w:tc>
        <w:tc>
          <w:tcPr>
            <w:tcW w:type="dxa" w:w="71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المعرفة / المهارة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Windows / Endpoint Support</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Microsoft 365</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Ticketing Systems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Identity &amp; Access Basics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Networking Basics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Hardware Troubleshooting</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Asset Management</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Security Hygiene</w:t>
            </w:r>
          </w:p>
        </w:tc>
      </w:tr>
    </w:tbl>
    <w:p>
      <w:pPr>
        <w:pStyle w:val="Heading1"/>
        <w:jc w:val="right"/>
        <w:bidi w:val="1"/>
      </w:pPr>
      <w:r/>
      <w:r>
        <w:rPr>
          <w:rFonts w:ascii="DejaVu Sans" w:hAnsi="DejaVu Sans" w:cs="DejaVu Sans" w:eastAsia="DejaVu Sans"/>
          <w:b/>
          <w:color w:val="087F5B"/>
          <w:sz w:val="31"/>
          <w:lang w:val="ar-SA" w:bidi="ar-SA"/>
        </w:rPr>
        <w:t>9. الكفاءات السلوكية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السلوك المتوقع</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الكفاءة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يتحمل مسؤولية جودة المخرجات ويتابع العمل حتى الإغلاق.</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المساءلة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ينقل المعلومة بوضوح ويتكيف مع الطرف والموقف.</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التواصل</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يرتب الأولويات ويحافظ على المواعيد والسجلات.</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التنظيم</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يشخص السبب ويختار الإجراء المناسب أو يصعد الحالة.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حل المشكلات</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يتعاون مع الأطراف ذات العلاقة دون فقدان ملكية المهمة.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العمل الجماعي</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يتعامل مع تغير الأولويات والضغط دون الإخلال بالجودة.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المرونة</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مقياس الإتقان: </w:t>
            </w:r>
            <w:r>
              <w:rPr>
                <w:rFonts w:ascii="DejaVu Sans" w:hAnsi="DejaVu Sans" w:cs="DejaVu Sans" w:eastAsia="DejaVu Sans"/>
                <w:b w:val="0"/>
                <w:color w:val="1F2937"/>
                <w:sz w:val="19"/>
                <w:lang w:val="ar-SA" w:bidi="ar-SA"/>
              </w:rPr>
              <w:t>1 = معرفة أساسية، 2 = تطبيق مستقل، 3 = مستوى متقدم وتوجيه الآخرين، 4 = مرجعية/خبير.</w:t>
            </w:r>
          </w:p>
        </w:tc>
      </w:tr>
    </w:tbl>
    <w:p>
      <w:pPr>
        <w:spacing w:after="0"/>
      </w:pPr>
    </w:p>
    <w:p>
      <w:pPr>
        <w:pStyle w:val="Heading1"/>
        <w:jc w:val="right"/>
        <w:bidi w:val="1"/>
      </w:pPr>
      <w:r/>
      <w:r>
        <w:rPr>
          <w:rFonts w:ascii="DejaVu Sans" w:hAnsi="DejaVu Sans" w:cs="DejaVu Sans" w:eastAsia="DejaVu Sans"/>
          <w:b/>
          <w:color w:val="087F5B"/>
          <w:sz w:val="31"/>
          <w:lang w:val="ar-SA" w:bidi="ar-SA"/>
        </w:rPr>
        <w:t>10. الصلاحيات وحدود اتخاذ القرار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8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التفاصيل</w:t>
            </w:r>
          </w:p>
        </w:tc>
        <w:tc>
          <w:tcPr>
            <w:tcW w:type="dxa" w:w="237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نوع القرار</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تنفيذ حلول قياسية موثقة.</w:t>
              <w:br/>
              <w:t>• إعادة تشغيل أو إعداد جهاز مستخدم ضمن الإجراء.</w:t>
              <w:br/>
              <w:t>• إغلاق تذكرة بعد تحقق الحل.</w:t>
              <w:br/>
              <w:t>• حجز جهاز أو حساب عند وجود مؤشر أمني وفق الإجراء.</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يجوز ضمن الصلاحية</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اشتباه اختراق أو تصيد أو Malware.</w:t>
              <w:br/>
              <w:t>• تعطل خدمة تؤثر على عدد كبير من المستخدمين.</w:t>
              <w:br/>
              <w:t>• طلب صلاحية Admin أو وصول غير مبرر.</w:t>
              <w:br/>
              <w:t>• فقد جهاز يحوي بيانات عمل.</w:t>
              <w:br/>
              <w:t>• تغيير قد يؤثر على بيئة إنتاج أو خدمة حرجة.</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يتطلب اعتمادًا/تصعيدًا</w:t>
            </w:r>
          </w:p>
        </w:tc>
      </w:tr>
    </w:tbl>
    <w:p>
      <w:pPr>
        <w:pStyle w:val="Heading1"/>
        <w:jc w:val="right"/>
        <w:bidi w:val="1"/>
      </w:pPr>
      <w:r/>
      <w:r>
        <w:rPr>
          <w:rFonts w:ascii="DejaVu Sans" w:hAnsi="DejaVu Sans" w:cs="DejaVu Sans" w:eastAsia="DejaVu Sans"/>
          <w:b/>
          <w:color w:val="087F5B"/>
          <w:sz w:val="31"/>
          <w:lang w:val="ar-SA" w:bidi="ar-SA"/>
        </w:rPr>
        <w:t>11. العلاقات الوظيفية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4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طبيعة العلاقة</w:t>
            </w:r>
          </w:p>
        </w:tc>
        <w:tc>
          <w:tcPr>
            <w:tcW w:type="dxa" w:w="28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الجهة / الطرف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البلاغات والإرشاد والتحقق من الحل.</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المستخدمون</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التصعيد والمشكلات المتخصصة.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فرق البنية/الشبكات</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الحوادث والوصول والضوابط.</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الأمن السيبراني</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دخول وخروج الموظفين حيث يلزم.</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الموارد البشرية</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الضمان والدعم والتراخيص.</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الموردون</w:t>
            </w:r>
          </w:p>
        </w:tc>
      </w:tr>
    </w:tbl>
    <w:p>
      <w:pPr>
        <w:pStyle w:val="Heading1"/>
        <w:jc w:val="right"/>
        <w:bidi w:val="1"/>
      </w:pPr>
      <w:r/>
      <w:r>
        <w:rPr>
          <w:rFonts w:ascii="DejaVu Sans" w:hAnsi="DejaVu Sans" w:cs="DejaVu Sans" w:eastAsia="DejaVu Sans"/>
          <w:b/>
          <w:color w:val="087F5B"/>
          <w:sz w:val="31"/>
          <w:lang w:val="ar-SA" w:bidi="ar-SA"/>
        </w:rPr>
        <w:t>12. حدود الدور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يطلب كلمة مرور المستخدم أو يحتفظ بها.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يمنح صلاحيات مرتفعة لتسريع الحل دون اعتماد.</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يثبت برامج غير معتمدة.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يتصفح ملفات المستخدم إلا بالقدر اللازم والمصرح أثناء الدعم.</w:t>
      </w:r>
    </w:p>
    <w:p>
      <w:pPr>
        <w:pStyle w:val="Heading1"/>
        <w:jc w:val="right"/>
        <w:bidi w:val="1"/>
      </w:pPr>
      <w:r/>
      <w:r>
        <w:rPr>
          <w:rFonts w:ascii="DejaVu Sans" w:hAnsi="DejaVu Sans" w:cs="DejaVu Sans" w:eastAsia="DejaVu Sans"/>
          <w:b/>
          <w:color w:val="087F5B"/>
          <w:sz w:val="31"/>
          <w:lang w:val="ar-SA" w:bidi="ar-SA"/>
        </w:rPr>
        <w:t>13. متى يجب التصعيد فورًا؟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محاولات تسجيل دخول غير اعتيادية.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طلبات متكررة لتجاوز MFA أو الضوابط.</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أجهزة غير مسجلة على الشبكة.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تذاكر كثيرة لنفس السبب دون معالجة جذرية.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حساب موظف مغادر ما زال فعالًا.</w:t>
      </w:r>
    </w:p>
    <w:p>
      <w:pPr>
        <w:pStyle w:val="Heading1"/>
        <w:jc w:val="right"/>
        <w:bidi w:val="1"/>
      </w:pPr>
      <w:r/>
      <w:r>
        <w:rPr>
          <w:rFonts w:ascii="DejaVu Sans" w:hAnsi="DejaVu Sans" w:cs="DejaVu Sans" w:eastAsia="DejaVu Sans"/>
          <w:b/>
          <w:color w:val="087F5B"/>
          <w:sz w:val="31"/>
          <w:lang w:val="ar-SA" w:bidi="ar-SA"/>
        </w:rPr>
        <w:t>14. مؤشرات الأداء الرئيسية KPIs</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المستهدف الاسترشادي</w:t>
            </w:r>
          </w:p>
        </w:tc>
        <w:tc>
          <w:tcPr>
            <w:tcW w:type="dxa" w:w="453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طريقة القياس</w:t>
            </w:r>
          </w:p>
        </w:tc>
        <w:tc>
          <w:tcPr>
            <w:tcW w:type="dxa" w:w="280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المؤشر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البلاغات المحلولة من أول تواصل</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First Contact Resolution</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95%</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التذاكر ضمن SLA</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SLA Compliance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متوسط زمن الحل حسب الأولوية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Mean Time to Resolve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رضا المستخدم بعد الإغلاق</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User Satisfaction</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99%</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الأصول المطابقة للسجل</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Asset Accuracy</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التذاكر المعاد فتحها</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Reopen Rate</w:t>
            </w:r>
          </w:p>
        </w:tc>
      </w:tr>
    </w:tbl>
    <w:p>
      <w:pPr>
        <w:spacing w:after="100" w:line="264" w:lineRule="auto"/>
        <w:jc w:val="right"/>
        <w:bidi w:val="1"/>
      </w:pPr>
      <w:r>
        <w:rPr>
          <w:rFonts w:ascii="DejaVu Sans" w:hAnsi="DejaVu Sans" w:cs="DejaVu Sans" w:eastAsia="DejaVu Sans"/>
          <w:b w:val="0"/>
          <w:color w:val="667085"/>
          <w:sz w:val="17"/>
          <w:lang w:val="ar-SA" w:bidi="ar-SA"/>
        </w:rPr>
        <w:t>المستهدفات استرشادية؛ تعتمد الأهداف النهائية وفق حجم المنشأة ومستوى الوظيفة واتفاقيات مستوى الخدمة الداخلية.</w:t>
      </w:r>
    </w:p>
    <w:p>
      <w:pPr>
        <w:pStyle w:val="Heading1"/>
        <w:jc w:val="right"/>
        <w:bidi w:val="1"/>
      </w:pPr>
      <w:r/>
      <w:r>
        <w:rPr>
          <w:rFonts w:ascii="DejaVu Sans" w:hAnsi="DejaVu Sans" w:cs="DejaVu Sans" w:eastAsia="DejaVu Sans"/>
          <w:b/>
          <w:color w:val="087F5B"/>
          <w:sz w:val="31"/>
          <w:lang w:val="ar-SA" w:bidi="ar-SA"/>
        </w:rPr>
        <w:t>15. المخاطر والضوابط المرتبطة بالدور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489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الضابط المقترح</w:t>
            </w:r>
          </w:p>
        </w:tc>
        <w:tc>
          <w:tcPr>
            <w:tcW w:type="dxa" w:w="446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الخطر</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طلب معتمد وأقل صلاحية ومراجعة.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منح وصول خاطئ</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نسخ احتياطي/إجراء معتمد قبل التغيير.</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فقد بيانات أثناء الإصلاح</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معايير واضحة للتصعيد الفوري.</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تأخر حادث أمني</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تسليم واستلام وجرد دوري.</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أصول مفقودة</w:t>
            </w:r>
          </w:p>
        </w:tc>
      </w:tr>
    </w:tbl>
    <w:p>
      <w:pPr>
        <w:pStyle w:val="Heading1"/>
        <w:jc w:val="right"/>
        <w:bidi w:val="1"/>
      </w:pPr>
      <w:r/>
      <w:r>
        <w:rPr>
          <w:rFonts w:ascii="DejaVu Sans" w:hAnsi="DejaVu Sans" w:cs="DejaVu Sans" w:eastAsia="DejaVu Sans"/>
          <w:b/>
          <w:color w:val="087F5B"/>
          <w:sz w:val="31"/>
          <w:lang w:val="ar-SA" w:bidi="ar-SA"/>
        </w:rPr>
        <w:t>16. متطلبات أول 90 يومًا</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2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216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الفترة</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فهم بيئة الأجهزة والتطبيقات وService Desk وSLA ومصفوفة التصعيد.</w:t>
              <w:br/>
              <w:t>• التعرف على إجراءات الحسابات والأصول والأمن.</w:t>
              <w:br/>
              <w:t>• حل التذاكر القياسية تحت مراجعة.</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أول 30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إدارة Queue أو نطاق دعم باستقلالية.</w:t>
              <w:br/>
              <w:t>• تنفيذ Joiner/Mover/Leaver حسب الطلبات المعتمدة.</w:t>
              <w:br/>
              <w:t>• إضافة مقالات معرفة للحلول المتكررة.</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31-60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تحقيق SLA والجودة المستهدفة.</w:t>
              <w:br/>
              <w:t>• خفض تكرار نوع بلاغ عبر معالجة جذرية أو دليل.</w:t>
              <w:br/>
              <w:t>• إكمال جرد أو تحسين ملموس في دقة الأصول.</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61-90 يومًا</w:t>
            </w:r>
          </w:p>
        </w:tc>
      </w:tr>
    </w:tbl>
    <w:p>
      <w:pPr>
        <w:pStyle w:val="Heading1"/>
        <w:jc w:val="right"/>
        <w:bidi w:val="1"/>
      </w:pPr>
      <w:r/>
      <w:r>
        <w:rPr>
          <w:rFonts w:ascii="DejaVu Sans" w:hAnsi="DejaVu Sans" w:cs="DejaVu Sans" w:eastAsia="DejaVu Sans"/>
          <w:b/>
          <w:color w:val="087F5B"/>
          <w:sz w:val="31"/>
          <w:lang w:val="ar-SA" w:bidi="ar-SA"/>
        </w:rPr>
        <w:t>17. المسار المهني والاستمرارية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فني دعم / Service Desk Agent / خريج تقنية معلومات</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سابقة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دعم أول / مسؤول أنظمة / مسؤول شبكات / قائد Service Desk</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تطور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[يحدد البديل وفق خطة الاستمرارية]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بديل الوظيفة عند الغياب</w:t>
            </w:r>
          </w:p>
        </w:tc>
      </w:tr>
    </w:tbl>
    <w:p>
      <w:pPr>
        <w:pStyle w:val="Heading1"/>
        <w:jc w:val="right"/>
        <w:bidi w:val="1"/>
      </w:pPr>
      <w:r/>
      <w:r>
        <w:rPr>
          <w:rFonts w:ascii="DejaVu Sans" w:hAnsi="DejaVu Sans" w:cs="DejaVu Sans" w:eastAsia="DejaVu Sans"/>
          <w:b/>
          <w:color w:val="087F5B"/>
          <w:sz w:val="31"/>
          <w:lang w:val="ar-SA" w:bidi="ar-SA"/>
        </w:rPr>
        <w:t>18. ظروف ومتطلبات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يتطلب دعمًا ميدانيًا داخل المواقع.</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فترات ضغط عند الأعطال العامة أو الإطلاقات.</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يشمل On-call حسب طبيعة المنشأة.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تعامل مباشر مع مستخدمين ذوي مستويات تقنية مختلفة.</w:t>
      </w:r>
    </w:p>
    <w:p>
      <w:pPr>
        <w:pStyle w:val="Heading1"/>
        <w:jc w:val="right"/>
        <w:bidi w:val="1"/>
      </w:pPr>
      <w:r/>
      <w:r>
        <w:rPr>
          <w:rFonts w:ascii="DejaVu Sans" w:hAnsi="DejaVu Sans" w:cs="DejaVu Sans" w:eastAsia="DejaVu Sans"/>
          <w:b/>
          <w:color w:val="087F5B"/>
          <w:sz w:val="31"/>
          <w:lang w:val="ar-SA" w:bidi="ar-SA"/>
        </w:rPr>
        <w:t>19. قائمة التخصيص قبل الاعتماد</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تأكيد المسمى والدرجة والعائلة الوظيفية وموقع الوظيفة في الهيكل.</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التحقق من أن المسؤوليات تعكس العمل الفعلي ولا تتداخل جوهريًا مع وظيفة أخرى.</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نطاق الأثر: العملاء/المعاملات/المشاريع/الإدارات/المواقع بحسب الدور.</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الصلاحيات وحدود القرار والتصعيد وفق مصفوفة الصلاحيات.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المؤهل والخبرة لتجنب اشتراطات أعلى من الحاجة الفعلية.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اعتماد المهارات والكفاءات ومستويات الإتقان قبل الإعلان أو التقييم.</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تحويل KPIs الاسترشادية إلى مستهدفات قابلة للقياس.</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ظروف العمل واللغة والسفر والمتطلبات المهنية الخاصة.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الوصف مع المدير المباشر والموارد البشرية وصاحب الصلاحية.</w:t>
      </w:r>
    </w:p>
    <w:p>
      <w:pPr>
        <w:pStyle w:val="Heading1"/>
        <w:jc w:val="right"/>
        <w:bidi w:val="1"/>
      </w:pPr>
      <w:r/>
      <w:r>
        <w:rPr>
          <w:rFonts w:ascii="DejaVu Sans" w:hAnsi="DejaVu Sans" w:cs="DejaVu Sans" w:eastAsia="DejaVu Sans"/>
          <w:b/>
          <w:color w:val="087F5B"/>
          <w:sz w:val="31"/>
          <w:lang w:val="ar-SA" w:bidi="ar-SA"/>
        </w:rPr>
        <w:t>20. سجل الاعتماد</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482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الاسم / المسمى</w:t>
            </w:r>
          </w:p>
        </w:tc>
        <w:tc>
          <w:tcPr>
            <w:tcW w:type="dxa" w:w="252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الإجراء</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أعد الوصف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راجعه المدير المباشر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راجعته الموارد البشرية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اعتمده صاحب الصلاحية</w:t>
            </w:r>
          </w:p>
        </w:tc>
      </w:tr>
    </w:tbl>
    <w:p>
      <w:pPr>
        <w:pStyle w:val="Heading1"/>
        <w:jc w:val="right"/>
        <w:bidi w:val="1"/>
      </w:pPr>
      <w:r/>
      <w:r>
        <w:rPr>
          <w:rFonts w:ascii="DejaVu Sans" w:hAnsi="DejaVu Sans" w:cs="DejaVu Sans" w:eastAsia="DejaVu Sans"/>
          <w:b/>
          <w:color w:val="087F5B"/>
          <w:sz w:val="31"/>
          <w:lang w:val="ar-SA" w:bidi="ar-SA"/>
        </w:rPr>
        <w:t>21. سجل التعديلات</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59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وصف التعديل</w:t>
            </w:r>
          </w:p>
        </w:tc>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144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الإصدار</w:t>
            </w:r>
          </w:p>
        </w:tc>
      </w:tr>
      <w:tr>
        <w:tc>
          <w:tcPr>
            <w:tcW w:type="dxa" w:w="59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[وصف التعديل]</w:t>
            </w:r>
          </w:p>
        </w:tc>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144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مرجعيات التخصيص: </w:t>
            </w:r>
            <w:r>
              <w:rPr>
                <w:rFonts w:ascii="DejaVu Sans" w:hAnsi="DejaVu Sans" w:cs="DejaVu Sans" w:eastAsia="DejaVu Sans"/>
                <w:b w:val="0"/>
                <w:color w:val="1F2937"/>
                <w:sz w:val="19"/>
                <w:lang w:val="ar-SA" w:bidi="ar-SA"/>
              </w:rPr>
              <w:t>الهيكل التنظيمي، معمارية الوظائف والدرجات، مصفوفة الصلاحيات، السياسات والإجراءات الداخلية، المتطلبات المهنية، والأنظمة واللوائح ذات العلاقة بحسب ما ينطبق.</w:t>
            </w:r>
          </w:p>
        </w:tc>
      </w:tr>
    </w:tbl>
    <w:p>
      <w:pPr>
        <w:spacing w:after="0"/>
      </w:pPr>
    </w:p>
    <w:sectPr w:rsidR="00FC693F" w:rsidRPr="0006063C" w:rsidSect="00034616">
      <w:headerReference w:type="default" r:id="rId9"/>
      <w:footerReference w:type="default" r:id="rId10"/>
      <w:pgSz w:w="12240" w:h="15840"/>
      <w:pgMar w:top="1080" w:right="1224" w:bottom="1080"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val="1"/>
    </w:pPr>
    <w:r/>
    <w:r>
      <w:rPr>
        <w:rFonts w:ascii="DejaVu Sans" w:hAnsi="DejaVu Sans" w:cs="DejaVu Sans" w:eastAsia="DejaVu Sans"/>
        <w:b w:val="0"/>
        <w:color w:val="667085"/>
        <w:sz w:val="18"/>
        <w:lang w:val="ar-SA" w:bidi="ar-SA"/>
      </w:rPr>
      <w:t xml:space="preserve">صفحة </w:t>
    </w:r>
    <w:r>
      <w:rPr>
        <w:rFonts w:ascii="DejaVu Sans" w:hAnsi="DejaVu Sans" w:cs="DejaVu Sans" w:eastAsia="DejaVu Sans"/>
        <w:b w:val="0"/>
        <w:color w:val="667085"/>
        <w:sz w:val="18"/>
        <w:lang w:val="ar-SA" w:bidi="ar-SA"/>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bidi w:val="1"/>
    </w:pPr>
    <w:r/>
    <w:r>
      <w:rPr>
        <w:rFonts w:ascii="DejaVu Sans" w:hAnsi="DejaVu Sans" w:cs="DejaVu Sans" w:eastAsia="DejaVu Sans"/>
        <w:b w:val="0"/>
        <w:color w:val="087F5B"/>
        <w:sz w:val="18"/>
        <w:lang w:val="ar-SA" w:bidi="ar-SA"/>
      </w:rPr>
      <w:t>مجد | نموذج وصف وظيفي | أخصائي دعم تقنية المعلومات</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jc w:val="right"/>
    </w:pPr>
    <w:rPr>
      <w:rFonts w:ascii="DejaVu Sans" w:hAnsi="DejaVu Sans"/>
      <w:color w:val="1F293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100"/>
      <w:jc w:val="right"/>
      <w:outlineLvl w:val="0"/>
    </w:pPr>
    <w:rPr>
      <w:rFonts w:asciiTheme="majorHAnsi" w:eastAsiaTheme="majorEastAsia" w:hAnsiTheme="majorHAnsi" w:cstheme="majorBidi" w:ascii="DejaVu Sans" w:hAnsi="DejaVu Sans"/>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jc w:val="right"/>
      <w:outlineLvl w:val="1"/>
    </w:pPr>
    <w:rPr>
      <w:rFonts w:asciiTheme="majorHAnsi" w:eastAsiaTheme="majorEastAsia" w:hAnsiTheme="majorHAnsi" w:cstheme="majorBidi" w:ascii="DejaVu Sans" w:hAnsi="DejaVu Sans"/>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