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/>
    <w:p/>
    <w:p>
      <w:pPr>
        <w:spacing w:after="160"/>
        <w:jc w:val="center"/>
        <w:bidi w:val="1"/>
      </w:pPr>
      <w:r>
        <w:rPr>
          <w:rFonts w:ascii="DejaVu Sans" w:hAnsi="DejaVu Sans" w:cs="DejaVu Sans" w:eastAsia="DejaVu Sans"/>
          <w:b/>
          <w:color w:val="087F5B"/>
          <w:sz w:val="24"/>
          <w:lang w:val="ar-SA" w:bidi="ar-SA"/>
        </w:rPr>
        <w:t>نموذج الأوصاف الوظيفية</w:t>
      </w:r>
    </w:p>
    <w:p>
      <w:pPr>
        <w:spacing w:after="40"/>
        <w:jc w:val="center"/>
        <w:bidi w:val="1"/>
      </w:pPr>
      <w:r>
        <w:rPr>
          <w:rFonts w:ascii="DejaVu Sans" w:hAnsi="DejaVu Sans" w:cs="DejaVu Sans" w:eastAsia="DejaVu Sans"/>
          <w:b/>
          <w:color w:val="17243A"/>
          <w:sz w:val="36"/>
          <w:lang w:val="ar-SA" w:bidi="ar-SA"/>
        </w:rPr>
        <w:t>محلل بيانات</w:t>
      </w:r>
    </w:p>
    <w:p>
      <w:pPr>
        <w:spacing w:after="40"/>
        <w:jc w:val="center"/>
        <w:bidi w:val="1"/>
      </w:pPr>
      <w:r>
        <w:rPr>
          <w:rFonts w:ascii="DejaVu Sans" w:hAnsi="DejaVu Sans" w:cs="DejaVu Sans" w:eastAsia="DejaVu Sans"/>
          <w:b w:val="0"/>
          <w:color w:val="667085"/>
          <w:sz w:val="21"/>
          <w:lang w:val="ar-SA" w:bidi="ar-SA"/>
        </w:rPr>
        <w:t>Data Analyst</w:t>
      </w:r>
    </w:p>
    <w:p>
      <w:pPr>
        <w:spacing w:after="280"/>
        <w:jc w:val="center"/>
        <w:bidi w:val="1"/>
      </w:pPr>
      <w:r>
        <w:rPr>
          <w:rFonts w:ascii="DejaVu Sans" w:hAnsi="DejaVu Sans" w:cs="DejaVu Sans" w:eastAsia="DejaVu Sans"/>
          <w:b w:val="0"/>
          <w:color w:val="667085"/>
          <w:sz w:val="20"/>
          <w:lang w:val="ar-SA" w:bidi="ar-SA"/>
        </w:rPr>
        <w:t>قالب استرشادي عام قابل للتخصيص للمنشآت في المملكة العربية السعودية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48"/>
        <w:gridCol w:w="2448"/>
        <w:gridCol w:w="2448"/>
        <w:gridCol w:w="2448"/>
      </w:tblGrid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JD-DAT-009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رمز الوثيقة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[اسم المنشأة]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اسم المنشأة</w:t>
            </w:r>
          </w:p>
        </w:tc>
      </w:tr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[يوم/شهر/سنة]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تاريخ الاعتماد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[1.0]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الإصدار</w:t>
            </w:r>
          </w:p>
        </w:tc>
      </w:tr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[صاحب الصلاحية]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جهة الاعتماد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إدارة الموارد البشرية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مالك الوصف</w:t>
            </w:r>
          </w:p>
        </w:tc>
      </w:tr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[يوم/شهر/سنة]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المراجعة القادمة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سنويًا أو عند تغير نطاق الوظيفة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دورية المراجعة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E8F5F0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087F5B"/>
                <w:sz w:val="19"/>
                <w:lang w:val="ar-SA" w:bidi="ar-SA"/>
              </w:rPr>
              <w:t xml:space="preserve">طريقة الاستخدام: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استبدل النصوص الزرقاء بين الأقواس [ ] ببيانات المنشأة، وراجع نطاق المسؤوليات والمؤهلات والصلاحيات ومؤشرات الأداء قبل الاعتماد.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FFF4E5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B26A00"/>
                <w:sz w:val="19"/>
                <w:lang w:val="ar-SA" w:bidi="ar-SA"/>
              </w:rPr>
              <w:t xml:space="preserve">تنبيه مهم: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هذا قالب استرشادي ويجب مواءمته مع الهيكل التنظيمي والدرجات ومصفوفة الصلاحيات والسياسات المعتمدة. لا يعد الوصف عقد عمل مستقلاً ولا ينشئ التزامًا ماليًا بذاته.</w:t>
            </w:r>
          </w:p>
        </w:tc>
      </w:tr>
    </w:tbl>
    <w:p>
      <w:pPr>
        <w:spacing w:after="0"/>
      </w:pPr>
    </w:p>
    <w:p>
      <w:pPr>
        <w:jc w:val="center"/>
        <w:bidi w:val="1"/>
      </w:pPr>
      <w:r>
        <w:rPr>
          <w:rFonts w:ascii="DejaVu Sans" w:hAnsi="DejaVu Sans" w:cs="DejaVu Sans" w:eastAsia="DejaVu Sans"/>
          <w:b w:val="0"/>
          <w:color w:val="667085"/>
          <w:sz w:val="18"/>
          <w:lang w:val="ar-SA" w:bidi="ar-SA"/>
        </w:rPr>
        <w:t>إعداد استرشادي للنشر ضمن نماذج مجد</w:t>
      </w:r>
    </w:p>
    <w:p>
      <w:r>
        <w:br w:type="page"/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1. بطاقة الوظيفة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05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البيانات</w:t>
            </w:r>
          </w:p>
        </w:tc>
        <w:tc>
          <w:tcPr>
            <w:tcW w:type="dxa" w:w="23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العنصر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محلل بيانات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المسمى الوظيفي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Data Analyst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المسمى بالإنجليزية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البيانات والتحليلات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العائلة الوظيفية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البيانات والتحليلات / ذكاء الأعمال / [القطاع]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الإدارة / القسم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[مدير التحليلات / مدير ذكاء الأعمال]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الرئيس المباشر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لا يوجد / [حسب الهيكل]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المرؤوسون المباشرون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محلل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المستوى الوظيفي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[الدرجة المعتمدة]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الدرجة الوظيفية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[المدينة / الموقع]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موقع العمل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[حضوري / هجين / عن بعد]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نمط العمل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2. الغرض من الوظيفة</w:t>
      </w:r>
    </w:p>
    <w:p>
      <w:pPr>
        <w:spacing w:after="100" w:line="264" w:lineRule="auto"/>
        <w:jc w:val="right"/>
        <w:bidi w:val="1"/>
      </w:pPr>
      <w:r>
        <w:rPr>
          <w:rFonts w:ascii="DejaVu Sans" w:hAnsi="DejaVu Sans" w:cs="DejaVu Sans" w:eastAsia="DejaVu Sans"/>
          <w:b w:val="0"/>
          <w:color w:val="1F2937"/>
          <w:sz w:val="20"/>
          <w:lang w:val="ar-SA" w:bidi="ar-SA"/>
        </w:rPr>
        <w:t>تحويل البيانات التشغيلية والتجارية إلى معلومات موثوقة وقابلة للاستخدام عبر جمعها وتنظيفها وتعريف المقاييس وتحليلها وبناء التقارير ولوحات المعلومات، مع توضيح حدود البيانات والافتراضات بحيث تدعم القرارات دون استنتاجات مضللة.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3. سياق الوظيفة ونطاق الأثر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05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البيان</w:t>
            </w:r>
          </w:p>
        </w:tc>
        <w:tc>
          <w:tcPr>
            <w:tcW w:type="dxa" w:w="23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البعد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[حجم العملاء/المعاملات/المشاريع بحسب الدور]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حجم النطاق المخدوم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[عدد الإدارات/المواقع/المنطقة]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النطاق التنظيمي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مباشر على جودة القرار وشفافية الأداء وسرعة اكتشاف الانحرافات والفرص.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طبيعة الأثر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ينفذ التحليل ويبني المخرجات ضمن مصادر وصلاحيات معتمدة؛ تغيير تعريفات المؤشرات الرسمية أو استخدام بيانات حساسة لغرض جديد يتطلب اعتمادًا.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مستوى الاستقلالية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قد تكون عالية الحساسية - بيانات موظفين أو عملاء أو مالية أو تشغيلية حسب المجال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حساسية المعلومات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4. النتائج الرئيسية المتوقعة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بيانات محللة ذات جودة وتعريفات واضحة.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لوحات وتقارير تجيب عن أسئلة أعمال محددة.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مؤشرات متسقة بين الإدارات بدل تعدد النسخ.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تحليلات تميز بين الوصف والارتباط والسببية.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توثيق يسمح بإعادة إنتاج النتيجة ومراجعتها.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5. المسؤوليات والمهام الرئيسية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223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المخرجات المتوقعة</w:t>
            </w:r>
          </w:p>
        </w:tc>
        <w:tc>
          <w:tcPr>
            <w:tcW w:type="dxa" w:w="540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المهام والمسؤوليات</w:t>
            </w:r>
          </w:p>
        </w:tc>
        <w:tc>
          <w:tcPr>
            <w:tcW w:type="dxa" w:w="172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مجال المسؤولية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Dataset موثق المصدر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فهم الأنظمة والجداول وملاك البيانات.</w:t>
              <w:br/>
              <w:t>• استخراج البيانات ضمن الصلاحيات.</w:t>
              <w:br/>
              <w:t>• توثيق المصدر والتاريخ ونطاق التغطية.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مصادر البيانات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بيانات صالحة للتحليل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تنظيف القيم الناقصة والمكررة والشاذة وفق قواعد واضحة.</w:t>
              <w:br/>
              <w:t>• مصالحة الأرقام مع المصدر.</w:t>
              <w:br/>
              <w:t>• رفع مشكلات الجودة لمالك البيانات.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جودة البيانات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Metric Dictionary واضح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توثيق البسط والمقام والفترة والاستثناءات.</w:t>
              <w:br/>
              <w:t>• مواءمة التعريف مع أصحاب المصلحة.</w:t>
              <w:br/>
              <w:t>• منع تعدد التعريفات للمؤشر نفسه.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تعريف المقاييس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Insight مدعوم بالأدلة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إجراء التحليل الوصفي والمقارن والتجزئة.</w:t>
              <w:br/>
              <w:t>• اختبار الفرضيات ضمن حدود المنهج.</w:t>
              <w:br/>
              <w:t>• تفسير الأنماط مع ذكر القيود.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التحليل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Dashboard موثوق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بناء Dashboards وتقارير قابلة للاستخدام.</w:t>
              <w:br/>
              <w:t>• اختيار التصور المناسب للسؤال.</w:t>
              <w:br/>
              <w:t>• اختبار المرشحات والإجماليات قبل النشر.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التقارير واللوحات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قرار أفضل مع أثر تدقيق واضح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عرض النتائج بلغة أعمال واضحة.</w:t>
              <w:br/>
              <w:t>• تحديد مستوى الثقة والقيود.</w:t>
              <w:br/>
              <w:t>• إدارة صلاحيات الوصول وتوثيق منطق التحليل.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التواصل والحوكمة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6. توزيع المسؤوليات الاسترشادي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الوزن المقترح</w:t>
            </w:r>
          </w:p>
        </w:tc>
        <w:tc>
          <w:tcPr>
            <w:tcW w:type="dxa" w:w="734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المجال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التحليل والاستبصار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20%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جودة البيانات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التقارير واللوحات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15%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تعريف المقاييس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15%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التواصل والحوكمة</w:t>
            </w:r>
          </w:p>
        </w:tc>
      </w:tr>
    </w:tbl>
    <w:p>
      <w:pPr>
        <w:spacing w:after="0" w:line="264" w:lineRule="auto"/>
        <w:jc w:val="right"/>
        <w:bidi w:val="1"/>
      </w:pPr>
      <w:r>
        <w:rPr>
          <w:rFonts w:ascii="DejaVu Sans" w:hAnsi="DejaVu Sans" w:cs="DejaVu Sans" w:eastAsia="DejaVu Sans"/>
          <w:b w:val="0"/>
          <w:color w:val="667085"/>
          <w:sz w:val="18"/>
          <w:lang w:val="ar-SA" w:bidi="ar-SA"/>
        </w:rPr>
        <w:t>تعدل الأوزان قبل الاعتماد بما يعكس الواقع الفعلي للوظيفة، ويجب أن يكون مجموعها 100%.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7. المؤهلات والخبرة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05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المتطلب</w:t>
            </w:r>
          </w:p>
        </w:tc>
        <w:tc>
          <w:tcPr>
            <w:tcW w:type="dxa" w:w="23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العنصر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بكالوريوس في الإحصاء أو علوم البيانات أو نظم المعلومات أو علوم الحاسب أو الاقتصاد أو تخصص كمي ذي صلة.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المؤهل العلمي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1-3 سنوات في تحليل البيانات أو ذكاء الأعمال؛ ويمكن قبول حديثي التخرج ذوي المشاريع التطبيقية القوية.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الخبرة العملية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Power BI أو Tableau أو SQL أو برامج تحليل البيانات تعد ميزة إضافية.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الشهادات المهنية المفضلة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العربية والإنجليزية بمستوى مناسب لفهم المصادر والتوثيق وعرض النتائج.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اللغات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8. المعرفة والمهارات الفنية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223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مستوى الإتقان</w:t>
            </w:r>
          </w:p>
        </w:tc>
        <w:tc>
          <w:tcPr>
            <w:tcW w:type="dxa" w:w="712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المعرفة / المهارة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SQL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Excel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Power BI / Tableau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Data Cleaning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Descriptive Statistics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Data Visualization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Metric Design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Python / R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9. الكفاءات السلوكية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91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السلوك المتوقع</w:t>
            </w:r>
          </w:p>
        </w:tc>
        <w:tc>
          <w:tcPr>
            <w:tcW w:type="dxa" w:w="244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الكفاءة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يتحمل مسؤولية جودة المخرجات ويتابع العمل حتى الإغلاق.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المساءلة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ينقل المعلومة بوضوح ويتكيف مع الطرف والموقف.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التواصل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يرتب الأولويات ويحافظ على المواعيد والسجلات.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التنظيم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يشخص السبب ويختار الإجراء المناسب أو يصعد الحالة.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حل المشكلات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يتعاون مع الأطراف ذات العلاقة دون فقدان ملكية المهمة.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العمل الجماعي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يتعامل مع تغير الأولويات والضغط دون الإخلال بالجودة.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المرونة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E8F5F0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087F5B"/>
                <w:sz w:val="19"/>
                <w:lang w:val="ar-SA" w:bidi="ar-SA"/>
              </w:rPr>
              <w:t xml:space="preserve">مقياس الإتقان: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1 = معرفة أساسية، 2 = تطبيق مستقل، 3 = مستوى متقدم وتوجيه الآخرين، 4 = مرجعية/خبير.</w:t>
            </w:r>
          </w:p>
        </w:tc>
      </w:tr>
    </w:tbl>
    <w:p>
      <w:pPr>
        <w:spacing w:after="0"/>
      </w:pP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10. الصلاحيات وحدود اتخاذ القرار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98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التفاصيل</w:t>
            </w:r>
          </w:p>
        </w:tc>
        <w:tc>
          <w:tcPr>
            <w:tcW w:type="dxa" w:w="237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نوع القرار</w:t>
            </w:r>
          </w:p>
        </w:tc>
      </w:tr>
      <w:tr>
        <w:tc>
          <w:tcPr>
            <w:tcW w:type="dxa" w:w="698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• طلب توضيح من مالك البيانات عند وجود تناقض.</w:t>
              <w:br/>
              <w:t>• إيقاف نشر تقرير عند اكتشاف خطأ جوهري.</w:t>
              <w:br/>
              <w:t>• اقتراح تعريف مؤشر أو تحسين مصدر.</w:t>
              <w:br/>
              <w:t>• اختيار منهج التحليل والتصور ضمن المعايير.</w:t>
            </w:r>
          </w:p>
        </w:tc>
        <w:tc>
          <w:tcPr>
            <w:tcW w:type="dxa" w:w="237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يجوز ضمن الصلاحية</w:t>
            </w:r>
          </w:p>
        </w:tc>
      </w:tr>
      <w:tr>
        <w:tc>
          <w:tcPr>
            <w:tcW w:type="dxa" w:w="698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• تباين جوهري بين مصدرين رسميين.</w:t>
              <w:br/>
              <w:t>• طلب وصول لبيانات لا يملك المستخدم صلاحية لها.</w:t>
              <w:br/>
              <w:t>• استخدام تحليل قد يؤدي لقرار عالي المخاطر دون تحقق كاف.</w:t>
              <w:br/>
              <w:t>• تغيير تعريف KPI رسمي.</w:t>
              <w:br/>
              <w:t>• اكتشاف تسرب أو مشاركة غير مصرح بها.</w:t>
            </w:r>
          </w:p>
        </w:tc>
        <w:tc>
          <w:tcPr>
            <w:tcW w:type="dxa" w:w="237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يتطلب اعتمادًا/تصعيدًا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11. العلاقات الوظيفية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48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طبيعة العلاقة</w:t>
            </w:r>
          </w:p>
        </w:tc>
        <w:tc>
          <w:tcPr>
            <w:tcW w:type="dxa" w:w="288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الجهة / الطرف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الجودة والتعريفات والوصول.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ملاك البيانات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أسئلة الأعمال وتفسير النتائج.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الإدارات المستفيدة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المصادر والتكامل والوصول.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تقنية المعلومات/الهندسة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التقارير والمؤشرات والقرارات.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الإدارة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الاستخدام المشروع والصلاحيات.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الحوكمة/الخصوصية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12. حدود الدور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يعرض الارتباط كسببية دون تصميم أو دليل مناسب.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يخفي جودة بيانات ضعيفة خلف رسوم جذابة.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يغير Filters أو الفترة لإنتاج نتيجة مرغوبة.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يشارك بيانات تفصيلية لمن لا يحتاجها.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13. متى يجب التصعيد فورًا؟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مؤشر واحد له أرقام مختلفة في اجتماعات متعددة.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قفزة غير مفسرة بعد تغيير نظام أو تعريف.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نتيجة تعتمد على عينة صغيرة أو منحازة.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Dashboard يستخدم دون مالك أو تعريفات.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طلبات متكررة لملفات Excel حساسة بدل مصدر محكوم.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14. مؤشرات الأداء الرئيسية KPIs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المستهدف الاسترشادي</w:t>
            </w:r>
          </w:p>
        </w:tc>
        <w:tc>
          <w:tcPr>
            <w:tcW w:type="dxa" w:w="453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طريقة القياس</w:t>
            </w:r>
          </w:p>
        </w:tc>
        <w:tc>
          <w:tcPr>
            <w:tcW w:type="dxa" w:w="280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المؤشر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≥ 99%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عينات متطابقة مع المصادر المعتمدة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Data Accuracy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≥ 95%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التحليلات المسلمة في الموعد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On-Time Delivery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≥ [يحدد]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المستخدمون/التقارير المستخدمة فعليًا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Dashboard Adoption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0-≤ [يحدد]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أخطاء جوهرية بعد النشر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Post-Publish Issues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100%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المؤشرات المتوافقة مع التعريف الرسمي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Metric Consistency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≥ [يحدد]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تقييم المستفيدين للمخرجات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Stakeholder Satisfaction</w:t>
            </w:r>
          </w:p>
        </w:tc>
      </w:tr>
    </w:tbl>
    <w:p>
      <w:pPr>
        <w:spacing w:after="100" w:line="264" w:lineRule="auto"/>
        <w:jc w:val="right"/>
        <w:bidi w:val="1"/>
      </w:pPr>
      <w:r>
        <w:rPr>
          <w:rFonts w:ascii="DejaVu Sans" w:hAnsi="DejaVu Sans" w:cs="DejaVu Sans" w:eastAsia="DejaVu Sans"/>
          <w:b w:val="0"/>
          <w:color w:val="667085"/>
          <w:sz w:val="17"/>
          <w:lang w:val="ar-SA" w:bidi="ar-SA"/>
        </w:rPr>
        <w:t>المستهدفات استرشادية؛ تعتمد الأهداف النهائية وفق حجم المنشأة ومستوى الوظيفة واتفاقيات مستوى الخدمة الداخلية.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15. المخاطر والضوابط المرتبطة بالدور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489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الضابط المقترح</w:t>
            </w:r>
          </w:p>
        </w:tc>
        <w:tc>
          <w:tcPr>
            <w:tcW w:type="dxa" w:w="446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الخطر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مصالحة واختبارات جودة ومراجعة.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قرار على بيانات خاطئة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توضيح المنهج وحدود الاستدلال.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استنتاج سببي خاطئ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Least Privilege وتقليل التفاصيل.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تسرب بيانات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بدء التحليل بسؤال قرار واضح.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تقارير غير مستخدمة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16. متطلبات أول 90 يومًا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20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المخرجات المتوقعة</w:t>
            </w:r>
          </w:p>
        </w:tc>
        <w:tc>
          <w:tcPr>
            <w:tcW w:type="dxa" w:w="216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الفترة</w:t>
            </w:r>
          </w:p>
        </w:tc>
      </w:tr>
      <w:tr>
        <w:tc>
          <w:tcPr>
            <w:tcW w:type="dxa" w:w="72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• فهم مصادر البيانات وتعريفات KPIs وأدوات BI والصلاحيات.</w:t>
              <w:br/>
              <w:t>• إعادة إنتاج تقارير رئيسية للتحقق من الفهم.</w:t>
              <w:br/>
              <w:t>• توثيق فجوات جودة أو تعريفات متضاربة.</w:t>
            </w:r>
          </w:p>
        </w:tc>
        <w:tc>
          <w:tcPr>
            <w:tcW w:type="dxa" w:w="216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أول 30 يومًا</w:t>
            </w:r>
          </w:p>
        </w:tc>
      </w:tr>
      <w:tr>
        <w:tc>
          <w:tcPr>
            <w:tcW w:type="dxa" w:w="72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• امتلاك تقرير أو Dashboard وتحديثه بصورة مستقلة.</w:t>
              <w:br/>
              <w:t>• تنفيذ تحليل يجيب عن سؤال أعمال واضح.</w:t>
              <w:br/>
              <w:t>• إغلاق مشكلة جودة أو تعريف واحدة مع مالكها.</w:t>
            </w:r>
          </w:p>
        </w:tc>
        <w:tc>
          <w:tcPr>
            <w:tcW w:type="dxa" w:w="216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31-60 يومًا</w:t>
            </w:r>
          </w:p>
        </w:tc>
      </w:tr>
      <w:tr>
        <w:tc>
          <w:tcPr>
            <w:tcW w:type="dxa" w:w="72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• تقديم Insight أثر على قرار أو إجراء.</w:t>
              <w:br/>
              <w:t>• تحسين أتمتة أو موثوقية تقرير قائم.</w:t>
              <w:br/>
              <w:t>• إنشاء توثيق يسمح بإعادة إنتاج تحليل رئيسي.</w:t>
            </w:r>
          </w:p>
        </w:tc>
        <w:tc>
          <w:tcPr>
            <w:tcW w:type="dxa" w:w="216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61-90 يومًا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17. المسار المهني والاستمرارية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91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البيان</w:t>
            </w:r>
          </w:p>
        </w:tc>
        <w:tc>
          <w:tcPr>
            <w:tcW w:type="dxa" w:w="244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العنصر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محلل تقارير / خريج بيانات أو نظم معلومات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مسارات سابقة محتملة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محلل بيانات أول / محلل ذكاء أعمال / عالم بيانات مبتدئ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مسارات تطور محتملة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[يحدد البديل وفق خطة الاستمرارية]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بديل الوظيفة عند الغياب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18. ظروف ومتطلبات العمل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عمل مكثف أمام الشاشات والبيانات.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مواعيد دورية قبل اجتماعات الإدارة.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تعامل مع بيانات قد تكون شديدة الحساسية.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يتطلب تواصلًا قويًا مع غير المتخصصين.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19. قائمة التخصيص قبل الاعتماد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تأكيد المسمى والدرجة والعائلة الوظيفية وموقع الوظيفة في الهيكل.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التحقق من أن المسؤوليات تعكس العمل الفعلي ولا تتداخل جوهريًا مع وظيفة أخرى.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تحديد نطاق الأثر: العملاء/المعاملات/المشاريع/الإدارات/المواقع بحسب الدور.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تحديد الصلاحيات وحدود القرار والتصعيد وفق مصفوفة الصلاحيات.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مراجعة المؤهل والخبرة لتجنب اشتراطات أعلى من الحاجة الفعلية.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اعتماد المهارات والكفاءات ومستويات الإتقان قبل الإعلان أو التقييم.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تحويل KPIs الاسترشادية إلى مستهدفات قابلة للقياس.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مراجعة ظروف العمل واللغة والسفر والمتطلبات المهنية الخاصة.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مراجعة الوصف مع المدير المباشر والموارد البشرية وصاحب الصلاحية.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20. سجل الاعتماد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التاريخ</w:t>
            </w:r>
          </w:p>
        </w:tc>
        <w:tc>
          <w:tcPr>
            <w:tcW w:type="dxa" w:w="482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الاسم / المسمى</w:t>
            </w:r>
          </w:p>
        </w:tc>
        <w:tc>
          <w:tcPr>
            <w:tcW w:type="dxa" w:w="252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الإجراء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أعد الوصف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راجعه المدير المباشر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راجعته الموارد البشرية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اعتمده صاحب الصلاحية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21. سجل التعديلات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59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وصف التعديل</w:t>
            </w:r>
          </w:p>
        </w:tc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التاريخ</w:t>
            </w:r>
          </w:p>
        </w:tc>
        <w:tc>
          <w:tcPr>
            <w:tcW w:type="dxa" w:w="144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الإصدار</w:t>
            </w:r>
          </w:p>
        </w:tc>
      </w:tr>
      <w:tr>
        <w:tc>
          <w:tcPr>
            <w:tcW w:type="dxa" w:w="59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[وصف التعديل]</w:t>
            </w:r>
          </w:p>
        </w:tc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144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1.0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E8F5F0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087F5B"/>
                <w:sz w:val="19"/>
                <w:lang w:val="ar-SA" w:bidi="ar-SA"/>
              </w:rPr>
              <w:t xml:space="preserve">مرجعيات التخصيص: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الهيكل التنظيمي، معمارية الوظائف والدرجات، مصفوفة الصلاحيات، السياسات والإجراءات الداخلية، المتطلبات المهنية، والأنظمة واللوائح ذات العلاقة بحسب ما ينطبق.</w:t>
            </w:r>
          </w:p>
        </w:tc>
      </w:tr>
    </w:tbl>
    <w:p>
      <w:pPr>
        <w:spacing w:after="0"/>
      </w:pPr>
    </w:p>
    <w:sectPr w:rsidR="00FC693F" w:rsidRPr="0006063C" w:rsidSect="00034616">
      <w:headerReference w:type="default" r:id="rId9"/>
      <w:footerReference w:type="default" r:id="rId10"/>
      <w:pgSz w:w="12240" w:h="15840"/>
      <w:pgMar w:top="1080" w:right="1224" w:bottom="1080" w:left="1224" w:header="504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  <w:bidi w:val="1"/>
    </w:pPr>
    <w:r/>
    <w:r>
      <w:rPr>
        <w:rFonts w:ascii="DejaVu Sans" w:hAnsi="DejaVu Sans" w:cs="DejaVu Sans" w:eastAsia="DejaVu Sans"/>
        <w:b w:val="0"/>
        <w:color w:val="667085"/>
        <w:sz w:val="18"/>
        <w:lang w:val="ar-SA" w:bidi="ar-SA"/>
      </w:rPr>
      <w:t xml:space="preserve">صفحة </w:t>
    </w:r>
    <w:r>
      <w:rPr>
        <w:rFonts w:ascii="DejaVu Sans" w:hAnsi="DejaVu Sans" w:cs="DejaVu Sans" w:eastAsia="DejaVu Sans"/>
        <w:b w:val="0"/>
        <w:color w:val="667085"/>
        <w:sz w:val="18"/>
        <w:lang w:val="ar-SA" w:bidi="ar-SA"/>
      </w:rP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  <w:bidi w:val="1"/>
    </w:pPr>
    <w:r/>
    <w:r>
      <w:rPr>
        <w:rFonts w:ascii="DejaVu Sans" w:hAnsi="DejaVu Sans" w:cs="DejaVu Sans" w:eastAsia="DejaVu Sans"/>
        <w:b w:val="0"/>
        <w:color w:val="087F5B"/>
        <w:sz w:val="18"/>
        <w:lang w:val="ar-SA" w:bidi="ar-SA"/>
      </w:rPr>
      <w:t>مجد | نموذج وصف وظيفي | محلل بيانات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  <w:jc w:val="right"/>
    </w:pPr>
    <w:rPr>
      <w:rFonts w:ascii="DejaVu Sans" w:hAnsi="DejaVu Sans"/>
      <w:color w:val="1F2937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100"/>
      <w:jc w:val="right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87F5B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100"/>
      <w:jc w:val="right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87F5B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