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Pr>
        <w:spacing w:after="160"/>
        <w:jc w:val="center"/>
        <w:bidi w:val="1"/>
      </w:pPr>
      <w:r>
        <w:rPr>
          <w:rFonts w:ascii="DejaVu Sans" w:hAnsi="DejaVu Sans" w:cs="DejaVu Sans" w:eastAsia="DejaVu Sans"/>
          <w:b/>
          <w:color w:val="087F5B"/>
          <w:sz w:val="24"/>
          <w:lang w:val="ar-SA" w:bidi="ar-SA"/>
        </w:rPr>
        <w:t>نموذج الأوصاف الوظيفية</w:t>
      </w:r>
    </w:p>
    <w:p>
      <w:pPr>
        <w:spacing w:after="40"/>
        <w:jc w:val="center"/>
        <w:bidi w:val="1"/>
      </w:pPr>
      <w:r>
        <w:rPr>
          <w:rFonts w:ascii="DejaVu Sans" w:hAnsi="DejaVu Sans" w:cs="DejaVu Sans" w:eastAsia="DejaVu Sans"/>
          <w:b/>
          <w:color w:val="17243A"/>
          <w:sz w:val="36"/>
          <w:lang w:val="ar-SA" w:bidi="ar-SA"/>
        </w:rPr>
        <w:t>ممثل خدمة عملاء</w:t>
      </w:r>
    </w:p>
    <w:p>
      <w:pPr>
        <w:spacing w:after="40"/>
        <w:jc w:val="center"/>
        <w:bidi w:val="1"/>
      </w:pPr>
      <w:r>
        <w:rPr>
          <w:rFonts w:ascii="DejaVu Sans" w:hAnsi="DejaVu Sans" w:cs="DejaVu Sans" w:eastAsia="DejaVu Sans"/>
          <w:b w:val="0"/>
          <w:color w:val="667085"/>
          <w:sz w:val="21"/>
          <w:lang w:val="ar-SA" w:bidi="ar-SA"/>
        </w:rPr>
        <w:t>Customer Service Representative</w:t>
      </w:r>
    </w:p>
    <w:p>
      <w:pPr>
        <w:spacing w:after="280"/>
        <w:jc w:val="center"/>
        <w:bidi w:val="1"/>
      </w:pPr>
      <w:r>
        <w:rPr>
          <w:rFonts w:ascii="DejaVu Sans" w:hAnsi="DejaVu Sans" w:cs="DejaVu Sans" w:eastAsia="DejaVu Sans"/>
          <w:b w:val="0"/>
          <w:color w:val="667085"/>
          <w:sz w:val="20"/>
          <w:lang w:val="ar-SA" w:bidi="ar-SA"/>
        </w:rPr>
        <w:t>قالب استرشادي عام قابل للتخصيص للمنشآت في المملكة العربية السعودية</w:t>
      </w:r>
    </w:p>
    <w:tbl>
      <w:tblPr>
        <w:tblStyle w:val="TableGrid"/>
        <w:tblW w:type="auto" w:w="0"/>
        <w:jc w:val="center"/>
        <w:tblLook w:firstColumn="1" w:firstRow="1" w:lastColumn="0" w:lastRow="0" w:noHBand="0" w:noVBand="1" w:val="04A0"/>
      </w:tblPr>
      <w:tblGrid>
        <w:gridCol w:w="2448"/>
        <w:gridCol w:w="2448"/>
        <w:gridCol w:w="2448"/>
        <w:gridCol w:w="2448"/>
      </w:tblGrid>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JD-CS-002</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رمز الوثيقة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[اسم المنشأة]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اسم المنشأة</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تاريخ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[1.0]</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الإصدار</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[صاحب الصلاحية]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جهة الاعتماد</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إدارة الموارد البشرية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مالك الوصف</w:t>
            </w:r>
          </w:p>
        </w:tc>
      </w:tr>
      <w:tr>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8"/>
                <w:lang w:val="ar-SA" w:bidi="ar-SA"/>
              </w:rPr>
              <w:t>[يوم/شهر/سنة]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المراجعة القادمة</w:t>
            </w:r>
          </w:p>
        </w:tc>
        <w:tc>
          <w:tcPr>
            <w:tcW w:type="dxa" w:w="3528"/>
            <w:shd w:fill="FFFFFF"/>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سنويًا أو عند تغير نطاق الوظيفة</w:t>
            </w:r>
          </w:p>
        </w:tc>
        <w:tc>
          <w:tcPr>
            <w:tcW w:type="dxa" w:w="1800"/>
            <w:shd w:fill="E8EEF5"/>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8"/>
                <w:lang w:val="ar-SA" w:bidi="ar-SA"/>
              </w:rPr>
              <w:t>دورية المراجعة</w:t>
            </w:r>
          </w:p>
        </w:tc>
      </w:tr>
    </w:tbl>
    <w:p>
      <w:pPr>
        <w:spacing w:after="0"/>
      </w:pPr>
    </w:p>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طريقة الاستخدام: </w:t>
            </w:r>
            <w:r>
              <w:rPr>
                <w:rFonts w:ascii="DejaVu Sans" w:hAnsi="DejaVu Sans" w:cs="DejaVu Sans" w:eastAsia="DejaVu Sans"/>
                <w:b w:val="0"/>
                <w:color w:val="1F2937"/>
                <w:sz w:val="19"/>
                <w:lang w:val="ar-SA" w:bidi="ar-SA"/>
              </w:rPr>
              <w:t>استبدل النصوص الزرقاء بين الأقواس [ ] ببيانات المنشأة، وراجع نطاق المسؤوليات والمؤهلات والصلاحيات ومؤشرات الأداء قبل الاعتماد.</w:t>
            </w:r>
          </w:p>
        </w:tc>
      </w:tr>
    </w:tbl>
    <w:p>
      <w:pPr>
        <w:spacing w:after="0"/>
      </w:pPr>
    </w:p>
    <w:tbl>
      <w:tblPr>
        <w:tblW w:type="auto" w:w="0"/>
        <w:jc w:val="center"/>
        <w:tblLook w:firstColumn="1" w:firstRow="1" w:lastColumn="0" w:lastRow="0" w:noHBand="0" w:noVBand="1" w:val="04A0"/>
      </w:tblPr>
      <w:tblGrid>
        <w:gridCol w:w="9792"/>
      </w:tblGrid>
      <w:tr>
        <w:tc>
          <w:tcPr>
            <w:tcW w:type="dxa" w:w="9792"/>
            <w:shd w:fill="FFF4E5"/>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B26A00"/>
                <w:sz w:val="19"/>
                <w:lang w:val="ar-SA" w:bidi="ar-SA"/>
              </w:rPr>
              <w:t xml:space="preserve">تنبيه مهم: </w:t>
            </w:r>
            <w:r>
              <w:rPr>
                <w:rFonts w:ascii="DejaVu Sans" w:hAnsi="DejaVu Sans" w:cs="DejaVu Sans" w:eastAsia="DejaVu Sans"/>
                <w:b w:val="0"/>
                <w:color w:val="1F2937"/>
                <w:sz w:val="19"/>
                <w:lang w:val="ar-SA" w:bidi="ar-SA"/>
              </w:rPr>
              <w:t>هذا قالب استرشادي ويجب مواءمته مع الهيكل التنظيمي والدرجات ومصفوفة الصلاحيات والسياسات المعتمدة. لا يعد الوصف عقد عمل مستقلاً ولا ينشئ التزامًا ماليًا بذاته.</w:t>
            </w:r>
          </w:p>
        </w:tc>
      </w:tr>
    </w:tbl>
    <w:p>
      <w:pPr>
        <w:spacing w:after="0"/>
      </w:pPr>
    </w:p>
    <w:p>
      <w:pPr>
        <w:jc w:val="center"/>
        <w:bidi w:val="1"/>
      </w:pPr>
      <w:r>
        <w:rPr>
          <w:rFonts w:ascii="DejaVu Sans" w:hAnsi="DejaVu Sans" w:cs="DejaVu Sans" w:eastAsia="DejaVu Sans"/>
          <w:b w:val="0"/>
          <w:color w:val="667085"/>
          <w:sz w:val="18"/>
          <w:lang w:val="ar-SA" w:bidi="ar-SA"/>
        </w:rPr>
        <w:t>إعداد استرشادي للنشر ضمن نماذج مجد</w:t>
      </w:r>
    </w:p>
    <w:p>
      <w:r>
        <w:br w:type="page"/>
      </w:r>
    </w:p>
    <w:p>
      <w:pPr>
        <w:pStyle w:val="Heading1"/>
        <w:jc w:val="right"/>
        <w:bidi w:val="1"/>
      </w:pPr>
      <w:r/>
      <w:r>
        <w:rPr>
          <w:rFonts w:ascii="DejaVu Sans" w:hAnsi="DejaVu Sans" w:cs="DejaVu Sans" w:eastAsia="DejaVu Sans"/>
          <w:b/>
          <w:color w:val="087F5B"/>
          <w:sz w:val="31"/>
          <w:lang w:val="ar-SA" w:bidi="ar-SA"/>
        </w:rPr>
        <w:t>1. بطاقة الوظيفة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البيانات</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ممثل خدمة عملاء</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Customer Service Representative</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المسمى بالإنجليزية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خدمة وتجربة العملاء</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العائلة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خدمة العملاء / مركز الاتصال / [القناة]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الإدارة / القسم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[مشرف خدمة العملاء / مدير تجربة العميل]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الرئيس المباشر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لا يوجد / [حسب الهيكل]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المرؤوسون المباشرون</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ممثل / أخصائي مبتدئ</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المستوى الوظيفي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[الدرجة المعتمدة]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الدرجة الوظيفية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[المدينة / الموقع]</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موقع العمل</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[حضوري / هجين / عن بعد]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نمط العمل</w:t>
            </w:r>
          </w:p>
        </w:tc>
      </w:tr>
    </w:tbl>
    <w:p>
      <w:pPr>
        <w:pStyle w:val="Heading1"/>
        <w:jc w:val="right"/>
        <w:bidi w:val="1"/>
      </w:pPr>
      <w:r/>
      <w:r>
        <w:rPr>
          <w:rFonts w:ascii="DejaVu Sans" w:hAnsi="DejaVu Sans" w:cs="DejaVu Sans" w:eastAsia="DejaVu Sans"/>
          <w:b/>
          <w:color w:val="087F5B"/>
          <w:sz w:val="31"/>
          <w:lang w:val="ar-SA" w:bidi="ar-SA"/>
        </w:rPr>
        <w:t>2. الغرض من الوظيفة</w:t>
      </w:r>
    </w:p>
    <w:p>
      <w:pPr>
        <w:spacing w:after="100" w:line="264" w:lineRule="auto"/>
        <w:jc w:val="right"/>
        <w:bidi w:val="1"/>
      </w:pPr>
      <w:r>
        <w:rPr>
          <w:rFonts w:ascii="DejaVu Sans" w:hAnsi="DejaVu Sans" w:cs="DejaVu Sans" w:eastAsia="DejaVu Sans"/>
          <w:b w:val="0"/>
          <w:color w:val="1F2937"/>
          <w:sz w:val="20"/>
          <w:lang w:val="ar-SA" w:bidi="ar-SA"/>
        </w:rPr>
        <w:t>استقبال استفسارات وطلبات وشكاوى العملاء عبر القنوات المعتمدة، والتحقق من الحالة وتقديم الحل أو التوجيه المناسب ضمن الصلاحيات، مع توثيق كامل للتفاعل والمتابعة حتى الإغلاق بما يحقق تجربة متسقة ويحد من تكرار المشكلات.</w:t>
      </w:r>
    </w:p>
    <w:p>
      <w:pPr>
        <w:pStyle w:val="Heading1"/>
        <w:jc w:val="right"/>
        <w:bidi w:val="1"/>
      </w:pPr>
      <w:r/>
      <w:r>
        <w:rPr>
          <w:rFonts w:ascii="DejaVu Sans" w:hAnsi="DejaVu Sans" w:cs="DejaVu Sans" w:eastAsia="DejaVu Sans"/>
          <w:b/>
          <w:color w:val="087F5B"/>
          <w:sz w:val="31"/>
          <w:lang w:val="ar-SA" w:bidi="ar-SA"/>
        </w:rPr>
        <w:t>3. سياق الوظيفة ونطاق الأثر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البعد</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[حجم العملاء/المعاملات/المشاريع بحسب الدور]</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حجم النطاق المخدوم</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[عدد الإدارات/المواقع/المنطقة]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النطاق التنظيمي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مباشر على رضا العميل وسمعة المنشأة وزمن الحل وجودة بيانات صوت العميل.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طبيعة الأثر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يحل الحالات القياسية وفق قاعدة المعرفة والصلاحيات؛ التعويضات والاستثناءات والنزاعات والحالات الحساسة تصعد.</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مستوى الاستقلالية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سري - بيانات تعريف واتصال وطلبات ومعاملات العملاء بحسب النشاط</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حساسية المعلومات</w:t>
            </w:r>
          </w:p>
        </w:tc>
      </w:tr>
    </w:tbl>
    <w:p>
      <w:pPr>
        <w:pStyle w:val="Heading1"/>
        <w:jc w:val="right"/>
        <w:bidi w:val="1"/>
      </w:pPr>
      <w:r/>
      <w:r>
        <w:rPr>
          <w:rFonts w:ascii="DejaVu Sans" w:hAnsi="DejaVu Sans" w:cs="DejaVu Sans" w:eastAsia="DejaVu Sans"/>
          <w:b/>
          <w:color w:val="087F5B"/>
          <w:sz w:val="31"/>
          <w:lang w:val="ar-SA" w:bidi="ar-SA"/>
        </w:rPr>
        <w:t>4. النتائج الرئيسية المتوقعة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استجابة سريعة ودقيقة عبر القنوات المعتمدة.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حل أكبر نسبة ممكنة من الحالات من أول تواصل دون التضحية بالدقة.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توثيق كامل وموضوعي للتفاعلات والحلول.</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تصعيد صحيح للحالات الحساسة مع جميع المعلومات اللازمة.</w:t>
      </w:r>
    </w:p>
    <w:p>
      <w:pPr>
        <w:spacing w:after="40" w:line="252" w:lineRule="auto"/>
        <w:ind w:right="173" w:hanging="173"/>
        <w:jc w:val="right"/>
        <w:bidi w:val="1"/>
      </w:pPr>
      <w:r>
        <w:rPr>
          <w:rFonts w:ascii="DejaVu Sans" w:hAnsi="DejaVu Sans" w:cs="DejaVu Sans" w:eastAsia="DejaVu Sans"/>
          <w:b/>
          <w:color w:val="1F2937"/>
          <w:sz w:val="19"/>
          <w:lang w:val="ar-SA" w:bidi="ar-SA"/>
        </w:rPr>
        <w:t xml:space="preserve">• </w:t>
      </w:r>
      <w:r>
        <w:rPr>
          <w:rFonts w:ascii="DejaVu Sans" w:hAnsi="DejaVu Sans" w:cs="DejaVu Sans" w:eastAsia="DejaVu Sans"/>
          <w:b w:val="0"/>
          <w:color w:val="1F2937"/>
          <w:sz w:val="19"/>
          <w:lang w:val="ar-SA" w:bidi="ar-SA"/>
        </w:rPr>
        <w:t>تحويل الأنماط المتكررة إلى ملاحظات قابلة للتحسين.</w:t>
      </w:r>
    </w:p>
    <w:p>
      <w:pPr>
        <w:pStyle w:val="Heading1"/>
        <w:jc w:val="right"/>
        <w:bidi w:val="1"/>
      </w:pPr>
      <w:r/>
      <w:r>
        <w:rPr>
          <w:rFonts w:ascii="DejaVu Sans" w:hAnsi="DejaVu Sans" w:cs="DejaVu Sans" w:eastAsia="DejaVu Sans"/>
          <w:b/>
          <w:color w:val="087F5B"/>
          <w:sz w:val="31"/>
          <w:lang w:val="ar-SA" w:bidi="ar-SA"/>
        </w:rPr>
        <w:t>5. المسؤوليات والمهام الرئيسية</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54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المهام والمسؤوليات</w:t>
            </w:r>
          </w:p>
        </w:tc>
        <w:tc>
          <w:tcPr>
            <w:tcW w:type="dxa" w:w="17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مجال المسؤولية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حالة مصنفة بدقة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استقبال المكالمات أو المحادثات أو البريد.</w:t>
              <w:br/>
              <w:t>• التحقق من هوية العميل حسب الإجراء.</w:t>
              <w:br/>
              <w:t>• فهم الطلب وتحديد الأولوية والتصنيف.</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استقبال التفاعل</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حل صحيح أو مسار واضح</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البحث في الأنظمة وقاعدة المعرفة.</w:t>
              <w:br/>
              <w:t>• شرح الإجراء والمدة والمتطلبات بوضوح.</w:t>
              <w:br/>
              <w:t>• تنفيذ الإجراء المسموح أو إنشاء طلب للجهة المالكة.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الحل والإرشاد</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شكوى موثقة ومتابعة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الاستماع وتوثيق الوقائع دون جدال.</w:t>
              <w:br/>
              <w:t>• تحديد نوع الشكوى وخطورتها.</w:t>
              <w:br/>
              <w:t>• تصعيد الشكاوى الجوهرية ومتابعة النتيجة.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الشكاوى</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سجل قابل للمراجعة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تسجيل ملخص التفاعل والإجراء والموعد القادم.</w:t>
              <w:br/>
              <w:t>• استخدام التصنيفات المعتمدة.</w:t>
              <w:br/>
              <w:t>• منع إدخال بيانات غير لازمة.</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التوثيق</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طلبات مغلقة دون فقد المتابعة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مراقبة الطلبات المفتوحة ومواعيد SLA.</w:t>
              <w:br/>
              <w:t>• التواصل مع العميل عند وجود تحديث.</w:t>
              <w:br/>
              <w:t>• إغلاق الحالة بعد اكتمال الإجراء.</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المتابعة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تحسن مستمر في الجودة</w:t>
            </w:r>
          </w:p>
        </w:tc>
        <w:tc>
          <w:tcPr>
            <w:tcW w:type="dxa" w:w="54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 الالتزام بمعايير الجودة.</w:t>
              <w:br/>
              <w:t>• مراجعة ملاحظات Quality Monitoring.</w:t>
              <w:br/>
              <w:t>• المشاركة في تحديث FAQ عند تكرار سؤال.</w:t>
            </w:r>
          </w:p>
        </w:tc>
        <w:tc>
          <w:tcPr>
            <w:tcW w:type="dxa" w:w="17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5"/>
                <w:lang w:val="ar-SA" w:bidi="ar-SA"/>
              </w:rPr>
              <w:t>جودة الخدمة</w:t>
            </w:r>
          </w:p>
        </w:tc>
      </w:tr>
    </w:tbl>
    <w:p>
      <w:pPr>
        <w:pStyle w:val="Heading1"/>
        <w:jc w:val="right"/>
        <w:bidi w:val="1"/>
      </w:pPr>
      <w:r/>
      <w:r>
        <w:rPr>
          <w:rFonts w:ascii="DejaVu Sans" w:hAnsi="DejaVu Sans" w:cs="DejaVu Sans" w:eastAsia="DejaVu Sans"/>
          <w:b/>
          <w:color w:val="087F5B"/>
          <w:sz w:val="31"/>
          <w:lang w:val="ar-SA" w:bidi="ar-SA"/>
        </w:rPr>
        <w:t>6. توزيع المسؤوليات الاسترشادي</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الوزن المقترح</w:t>
            </w:r>
          </w:p>
        </w:tc>
        <w:tc>
          <w:tcPr>
            <w:tcW w:type="dxa" w:w="734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المجال</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45%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خدمة وحل الطلبات</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المتابعة والتوثيق</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15%</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الشكاوى والتصعيد</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الجودة والمعرفة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10%</w:t>
            </w:r>
          </w:p>
        </w:tc>
        <w:tc>
          <w:tcPr>
            <w:tcW w:type="dxa" w:w="734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صوت العميل والتقارير</w:t>
            </w:r>
          </w:p>
        </w:tc>
      </w:tr>
    </w:tbl>
    <w:p>
      <w:pPr>
        <w:spacing w:after="0" w:line="264" w:lineRule="auto"/>
        <w:jc w:val="right"/>
        <w:bidi w:val="1"/>
      </w:pPr>
      <w:r>
        <w:rPr>
          <w:rFonts w:ascii="DejaVu Sans" w:hAnsi="DejaVu Sans" w:cs="DejaVu Sans" w:eastAsia="DejaVu Sans"/>
          <w:b w:val="0"/>
          <w:color w:val="667085"/>
          <w:sz w:val="18"/>
          <w:lang w:val="ar-SA" w:bidi="ar-SA"/>
        </w:rPr>
        <w:t>تعدل الأوزان قبل الاعتماد بما يعكس الواقع الفعلي للوظيفة، ويجب أن يكون مجموعها 100%.</w:t>
      </w:r>
    </w:p>
    <w:p>
      <w:pPr>
        <w:pStyle w:val="Heading1"/>
        <w:jc w:val="right"/>
        <w:bidi w:val="1"/>
      </w:pPr>
      <w:r/>
      <w:r>
        <w:rPr>
          <w:rFonts w:ascii="DejaVu Sans" w:hAnsi="DejaVu Sans" w:cs="DejaVu Sans" w:eastAsia="DejaVu Sans"/>
          <w:b/>
          <w:color w:val="087F5B"/>
          <w:sz w:val="31"/>
          <w:lang w:val="ar-SA" w:bidi="ar-SA"/>
        </w:rPr>
        <w:t>7. المؤهلات والخبرة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05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المتطلب</w:t>
            </w:r>
          </w:p>
        </w:tc>
        <w:tc>
          <w:tcPr>
            <w:tcW w:type="dxa" w:w="23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ثانوية أو دبلوم أو بكالوريوس بحسب مستوى الدور وطبيعة الخدمة.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المؤهل العلمي</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0-2 سنة في خدمة العملاء أو مراكز الاتصال أو الاستقبال.</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الخبرة العملية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برامج خدمة العملاء وتجربة العميل ومهارات الاتصال تعد ميزة إضافية.</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الشهادات المهنية المفضلة</w:t>
            </w:r>
          </w:p>
        </w:tc>
      </w:tr>
      <w:tr>
        <w:tc>
          <w:tcPr>
            <w:tcW w:type="dxa" w:w="705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العربية ممتازة؛ الإنجليزية بحسب شريحة العملاء والقنوات.</w:t>
            </w:r>
          </w:p>
        </w:tc>
        <w:tc>
          <w:tcPr>
            <w:tcW w:type="dxa" w:w="23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اللغات</w:t>
            </w:r>
          </w:p>
        </w:tc>
      </w:tr>
    </w:tbl>
    <w:p>
      <w:pPr>
        <w:pStyle w:val="Heading1"/>
        <w:jc w:val="right"/>
        <w:bidi w:val="1"/>
      </w:pPr>
      <w:r/>
      <w:r>
        <w:rPr>
          <w:rFonts w:ascii="DejaVu Sans" w:hAnsi="DejaVu Sans" w:cs="DejaVu Sans" w:eastAsia="DejaVu Sans"/>
          <w:b/>
          <w:color w:val="087F5B"/>
          <w:sz w:val="31"/>
          <w:lang w:val="ar-SA" w:bidi="ar-SA"/>
        </w:rPr>
        <w:t>8. المعرفة والمهارات الفنية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223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مستوى الإتقان</w:t>
            </w:r>
          </w:p>
        </w:tc>
        <w:tc>
          <w:tcPr>
            <w:tcW w:type="dxa" w:w="712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المعرفة / المهارة</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CRM / Ticketing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Call Handling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Case Classification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Knowledge Base</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Complaint Handling</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Digital Channels</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3</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Documentation</w:t>
            </w:r>
          </w:p>
        </w:tc>
      </w:tr>
      <w:tr>
        <w:tc>
          <w:tcPr>
            <w:tcW w:type="dxa" w:w="223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2</w:t>
            </w:r>
          </w:p>
        </w:tc>
        <w:tc>
          <w:tcPr>
            <w:tcW w:type="dxa" w:w="712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Basic Reporting</w:t>
            </w:r>
          </w:p>
        </w:tc>
      </w:tr>
    </w:tbl>
    <w:p>
      <w:pPr>
        <w:pStyle w:val="Heading1"/>
        <w:jc w:val="right"/>
        <w:bidi w:val="1"/>
      </w:pPr>
      <w:r/>
      <w:r>
        <w:rPr>
          <w:rFonts w:ascii="DejaVu Sans" w:hAnsi="DejaVu Sans" w:cs="DejaVu Sans" w:eastAsia="DejaVu Sans"/>
          <w:b/>
          <w:color w:val="087F5B"/>
          <w:sz w:val="31"/>
          <w:lang w:val="ar-SA" w:bidi="ar-SA"/>
        </w:rPr>
        <w:t>9. الكفاءات السلوكية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السلوك المتوقع</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الكفاءة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يتحمل مسؤولية جودة المخرجات ويتابع العمل حتى الإغلاق.</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المساءلة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ينقل المعلومة بوضوح ويتكيف مع الطرف والموقف.</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التواصل</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يرتب الأولويات ويحافظ على المواعيد والسجلات.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التنظيم</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يشخص السبب ويختار الإجراء المناسب أو يصعد الحالة.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حل المشكلات</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يتعاون مع الأطراف ذات العلاقة دون فقدان ملكية المهمة.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العمل الجماعي</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يتعامل مع تغير الأولويات والضغط دون الإخلال بالجودة.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المرونة</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مقياس الإتقان: </w:t>
            </w:r>
            <w:r>
              <w:rPr>
                <w:rFonts w:ascii="DejaVu Sans" w:hAnsi="DejaVu Sans" w:cs="DejaVu Sans" w:eastAsia="DejaVu Sans"/>
                <w:b w:val="0"/>
                <w:color w:val="1F2937"/>
                <w:sz w:val="19"/>
                <w:lang w:val="ar-SA" w:bidi="ar-SA"/>
              </w:rPr>
              <w:t>1 = معرفة أساسية، 2 = تطبيق مستقل، 3 = مستوى متقدم وتوجيه الآخرين، 4 = مرجعية/خبير.</w:t>
            </w:r>
          </w:p>
        </w:tc>
      </w:tr>
    </w:tbl>
    <w:p>
      <w:pPr>
        <w:spacing w:after="0"/>
      </w:pPr>
    </w:p>
    <w:p>
      <w:pPr>
        <w:pStyle w:val="Heading1"/>
        <w:jc w:val="right"/>
        <w:bidi w:val="1"/>
      </w:pPr>
      <w:r/>
      <w:r>
        <w:rPr>
          <w:rFonts w:ascii="DejaVu Sans" w:hAnsi="DejaVu Sans" w:cs="DejaVu Sans" w:eastAsia="DejaVu Sans"/>
          <w:b/>
          <w:color w:val="087F5B"/>
          <w:sz w:val="31"/>
          <w:lang w:val="ar-SA" w:bidi="ar-SA"/>
        </w:rPr>
        <w:t>10. الصلاحيات وحدود اتخاذ القرار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8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التفاصيل</w:t>
            </w:r>
          </w:p>
        </w:tc>
        <w:tc>
          <w:tcPr>
            <w:tcW w:type="dxa" w:w="237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نوع القرار</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حل الحالات القياسية وفق الإجراء.</w:t>
              <w:br/>
              <w:t>• طلب معلومات لازمة من العميل.</w:t>
              <w:br/>
              <w:t>• إعادة تصنيف الحالة عند وجود سبب موثق.</w:t>
              <w:br/>
              <w:t>• التصعيد للجهة المختصة بالأولوية المناسبة.</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يجوز ضمن الصلاحية</w:t>
            </w:r>
          </w:p>
        </w:tc>
      </w:tr>
      <w:tr>
        <w:tc>
          <w:tcPr>
            <w:tcW w:type="dxa" w:w="698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 تهديد قانوني أو إعلامي أو أمني.</w:t>
              <w:br/>
              <w:t>• طلب تعويض أو استثناء خارج الصلاحية.</w:t>
              <w:br/>
              <w:t>• اشتباه في احتيال أو انتحال أو تسريب بيانات.</w:t>
              <w:br/>
              <w:t>• عميل متضرر بسبب خطأ متكرر أو عالي القيمة.</w:t>
              <w:br/>
              <w:t>• تعطل واسع يؤثر على عدد كبير من العملاء.</w:t>
            </w:r>
          </w:p>
        </w:tc>
        <w:tc>
          <w:tcPr>
            <w:tcW w:type="dxa" w:w="237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يتطلب اعتمادًا/تصعيدًا</w:t>
            </w:r>
          </w:p>
        </w:tc>
      </w:tr>
    </w:tbl>
    <w:p>
      <w:pPr>
        <w:pStyle w:val="Heading1"/>
        <w:jc w:val="right"/>
        <w:bidi w:val="1"/>
      </w:pPr>
      <w:r/>
      <w:r>
        <w:rPr>
          <w:rFonts w:ascii="DejaVu Sans" w:hAnsi="DejaVu Sans" w:cs="DejaVu Sans" w:eastAsia="DejaVu Sans"/>
          <w:b/>
          <w:color w:val="087F5B"/>
          <w:sz w:val="31"/>
          <w:lang w:val="ar-SA" w:bidi="ar-SA"/>
        </w:rPr>
        <w:t>11. العلاقات الوظيفية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4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طبيعة العلاقة</w:t>
            </w:r>
          </w:p>
        </w:tc>
        <w:tc>
          <w:tcPr>
            <w:tcW w:type="dxa" w:w="288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الجهة / الطرف</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استفسارات وطلبات وشكاوى ومتابعة.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العملاء</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تنفيذ الطلبات غير الممكنة من الخط الأول.</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العمليات</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معايير الخدمة وملاحظات الأداء.</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الجودة والتدريب</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الأعطال والمشكلات المتكررة.</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المنتج/التقنية</w:t>
            </w:r>
          </w:p>
        </w:tc>
      </w:tr>
      <w:tr>
        <w:tc>
          <w:tcPr>
            <w:tcW w:type="dxa" w:w="64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التصعيد والأولويات وإدارة الأحمال.</w:t>
            </w:r>
          </w:p>
        </w:tc>
        <w:tc>
          <w:tcPr>
            <w:tcW w:type="dxa" w:w="288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المشرف</w:t>
            </w:r>
          </w:p>
        </w:tc>
      </w:tr>
    </w:tbl>
    <w:p>
      <w:pPr>
        <w:pStyle w:val="Heading1"/>
        <w:jc w:val="right"/>
        <w:bidi w:val="1"/>
      </w:pPr>
      <w:r/>
      <w:r>
        <w:rPr>
          <w:rFonts w:ascii="DejaVu Sans" w:hAnsi="DejaVu Sans" w:cs="DejaVu Sans" w:eastAsia="DejaVu Sans"/>
          <w:b/>
          <w:color w:val="087F5B"/>
          <w:sz w:val="31"/>
          <w:lang w:val="ar-SA" w:bidi="ar-SA"/>
        </w:rPr>
        <w:t>12. حدود الدور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يفصح عن معلومات عميل دون تحقق وصلاحية.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يعد العميل بمدة أو تعويض غير مؤكد.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يغلق الحالة لمجرد تحقيق مؤشر سرعة.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لا يدخل ملاحظات شخصية أو حساسة بلا حاجة.</w:t>
      </w:r>
    </w:p>
    <w:p>
      <w:pPr>
        <w:pStyle w:val="Heading1"/>
        <w:jc w:val="right"/>
        <w:bidi w:val="1"/>
      </w:pPr>
      <w:r/>
      <w:r>
        <w:rPr>
          <w:rFonts w:ascii="DejaVu Sans" w:hAnsi="DejaVu Sans" w:cs="DejaVu Sans" w:eastAsia="DejaVu Sans"/>
          <w:b/>
          <w:color w:val="087F5B"/>
          <w:sz w:val="31"/>
          <w:lang w:val="ar-SA" w:bidi="ar-SA"/>
        </w:rPr>
        <w:t>13. متى يجب التصعيد فورًا؟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تكرار اتصال لنفس المشكلة دون حل.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ارتفاع مفاجئ في نوع شكوى واحد.</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طلب إفشاء بيانات حساب آخر.</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تعطل يسبب ضررًا واسعًا.</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انخفاض FCR مع ارتفاع الإغلاق الشكلي.</w:t>
      </w:r>
    </w:p>
    <w:p>
      <w:pPr>
        <w:pStyle w:val="Heading1"/>
        <w:jc w:val="right"/>
        <w:bidi w:val="1"/>
      </w:pPr>
      <w:r/>
      <w:r>
        <w:rPr>
          <w:rFonts w:ascii="DejaVu Sans" w:hAnsi="DejaVu Sans" w:cs="DejaVu Sans" w:eastAsia="DejaVu Sans"/>
          <w:b/>
          <w:color w:val="087F5B"/>
          <w:sz w:val="31"/>
          <w:lang w:val="ar-SA" w:bidi="ar-SA"/>
        </w:rPr>
        <w:t>14. مؤشرات الأداء الرئيسية KPIs</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المستهدف الاسترشادي</w:t>
            </w:r>
          </w:p>
        </w:tc>
        <w:tc>
          <w:tcPr>
            <w:tcW w:type="dxa" w:w="453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طريقة القياس</w:t>
            </w:r>
          </w:p>
        </w:tc>
        <w:tc>
          <w:tcPr>
            <w:tcW w:type="dxa" w:w="280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المؤشر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متوسط تقييم التفاعل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CSAT</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الحالات المحلولة من أول تواصل</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FCR</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الطلبات المعالجة ضمن الوقت</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SLA</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90%</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نتيجة Quality Monitoring</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الجودة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 [يحدد]</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الحالات التي أعيد فتحها</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إعادة الفتح</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95%</w:t>
            </w:r>
          </w:p>
        </w:tc>
        <w:tc>
          <w:tcPr>
            <w:tcW w:type="dxa" w:w="453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عينات سجلات مكتملة وصحيحة</w:t>
            </w:r>
          </w:p>
        </w:tc>
        <w:tc>
          <w:tcPr>
            <w:tcW w:type="dxa" w:w="280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دقة التوثيق</w:t>
            </w:r>
          </w:p>
        </w:tc>
      </w:tr>
    </w:tbl>
    <w:p>
      <w:pPr>
        <w:spacing w:after="100" w:line="264" w:lineRule="auto"/>
        <w:jc w:val="right"/>
        <w:bidi w:val="1"/>
      </w:pPr>
      <w:r>
        <w:rPr>
          <w:rFonts w:ascii="DejaVu Sans" w:hAnsi="DejaVu Sans" w:cs="DejaVu Sans" w:eastAsia="DejaVu Sans"/>
          <w:b w:val="0"/>
          <w:color w:val="667085"/>
          <w:sz w:val="17"/>
          <w:lang w:val="ar-SA" w:bidi="ar-SA"/>
        </w:rPr>
        <w:t>المستهدفات استرشادية؛ تعتمد الأهداف النهائية وفق حجم المنشأة ومستوى الوظيفة واتفاقيات مستوى الخدمة الداخلية.</w:t>
      </w:r>
    </w:p>
    <w:p>
      <w:pPr>
        <w:pStyle w:val="Heading1"/>
        <w:jc w:val="right"/>
        <w:bidi w:val="1"/>
      </w:pPr>
      <w:r/>
      <w:r>
        <w:rPr>
          <w:rFonts w:ascii="DejaVu Sans" w:hAnsi="DejaVu Sans" w:cs="DejaVu Sans" w:eastAsia="DejaVu Sans"/>
          <w:b/>
          <w:color w:val="087F5B"/>
          <w:sz w:val="31"/>
          <w:lang w:val="ar-SA" w:bidi="ar-SA"/>
        </w:rPr>
        <w:t>15. المخاطر والضوابط المرتبطة بالدور</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489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الضابط المقترح</w:t>
            </w:r>
          </w:p>
        </w:tc>
        <w:tc>
          <w:tcPr>
            <w:tcW w:type="dxa" w:w="446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الخطر</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قاعدة معرفة محدثة وتدريب وتصعيد.</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إجابة غير صحيحة</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تحقق هوية وصلاحيات.</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كشف بيانات العميل</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قياس إعادة الفتح وFCR والجودة معًا.</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إغلاق شكلي للحالات</w:t>
            </w:r>
          </w:p>
        </w:tc>
      </w:tr>
      <w:tr>
        <w:tc>
          <w:tcPr>
            <w:tcW w:type="dxa" w:w="489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تخطيط أحمال ودعم مشرف.</w:t>
            </w:r>
          </w:p>
        </w:tc>
        <w:tc>
          <w:tcPr>
            <w:tcW w:type="dxa" w:w="446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ضغط تشغيلي مرتفع</w:t>
            </w:r>
          </w:p>
        </w:tc>
      </w:tr>
    </w:tbl>
    <w:p>
      <w:pPr>
        <w:pStyle w:val="Heading1"/>
        <w:jc w:val="right"/>
        <w:bidi w:val="1"/>
      </w:pPr>
      <w:r/>
      <w:r>
        <w:rPr>
          <w:rFonts w:ascii="DejaVu Sans" w:hAnsi="DejaVu Sans" w:cs="DejaVu Sans" w:eastAsia="DejaVu Sans"/>
          <w:b/>
          <w:color w:val="087F5B"/>
          <w:sz w:val="31"/>
          <w:lang w:val="ar-SA" w:bidi="ar-SA"/>
        </w:rPr>
        <w:t>16. متطلبات أول 90 يومًا</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720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المخرجات المتوقعة</w:t>
            </w:r>
          </w:p>
        </w:tc>
        <w:tc>
          <w:tcPr>
            <w:tcW w:type="dxa" w:w="216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الفترة</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فهم المنتجات والسياسات وقاعدة المعرفة ونظام التذاكر.</w:t>
              <w:br/>
              <w:t>• الاستماع لتفاعلات فعلية والتدرب على السيناريوهات.</w:t>
              <w:br/>
              <w:t>• اجتياز تقييم المعرفة والجودة الأساسي.</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أول 30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معالجة الحالات القياسية باستقلالية.</w:t>
              <w:br/>
              <w:t>• تحقيق الجودة وSLA المبدئي.</w:t>
              <w:br/>
              <w:t>• التعامل الصحيح مع التصعيد والشكاوى.</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31-60 يومًا</w:t>
            </w:r>
          </w:p>
        </w:tc>
      </w:tr>
      <w:tr>
        <w:tc>
          <w:tcPr>
            <w:tcW w:type="dxa" w:w="720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 استقرار الأداء على مؤشرات القناة.</w:t>
              <w:br/>
              <w:t>• المساهمة في تحديث FAQ أو سبب متكرر.</w:t>
              <w:br/>
              <w:t>• تقليل الأخطاء وإعادة الفتح.</w:t>
            </w:r>
          </w:p>
        </w:tc>
        <w:tc>
          <w:tcPr>
            <w:tcW w:type="dxa" w:w="216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61-90 يومًا</w:t>
            </w:r>
          </w:p>
        </w:tc>
      </w:tr>
    </w:tbl>
    <w:p>
      <w:pPr>
        <w:pStyle w:val="Heading1"/>
        <w:jc w:val="right"/>
        <w:bidi w:val="1"/>
      </w:pPr>
      <w:r/>
      <w:r>
        <w:rPr>
          <w:rFonts w:ascii="DejaVu Sans" w:hAnsi="DejaVu Sans" w:cs="DejaVu Sans" w:eastAsia="DejaVu Sans"/>
          <w:b/>
          <w:color w:val="087F5B"/>
          <w:sz w:val="31"/>
          <w:lang w:val="ar-SA" w:bidi="ar-SA"/>
        </w:rPr>
        <w:t>17. المسار المهني والاستمرارية</w:t>
      </w:r>
    </w:p>
    <w:tbl>
      <w:tblPr>
        <w:tblStyle w:val="TableGrid"/>
        <w:tblW w:type="auto" w:w="0"/>
        <w:jc w:val="center"/>
        <w:tblLayout w:type="fixed"/>
        <w:tblLook w:firstColumn="1" w:firstRow="1" w:lastColumn="0" w:lastRow="0" w:noHBand="0" w:noVBand="1" w:val="04A0"/>
      </w:tblPr>
      <w:tblGrid>
        <w:gridCol w:w="4896"/>
        <w:gridCol w:w="4896"/>
      </w:tblGrid>
      <w:tr>
        <w:trPr>
          <w:tblHeader w:val="true"/>
        </w:trPr>
        <w:tc>
          <w:tcPr>
            <w:tcW w:type="dxa" w:w="6912"/>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البيان</w:t>
            </w:r>
          </w:p>
        </w:tc>
        <w:tc>
          <w:tcPr>
            <w:tcW w:type="dxa" w:w="2448"/>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العنصر</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موظف استقبال / متدرب / دعم مبيعات</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سابقة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أخصائي خدمة عملاء أول / مشرف مركز اتصال / أخصائي تجربة عميل</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مسارات تطور محتملة</w:t>
            </w:r>
          </w:p>
        </w:tc>
      </w:tr>
      <w:tr>
        <w:tc>
          <w:tcPr>
            <w:tcW w:type="dxa" w:w="6912"/>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7"/>
                <w:lang w:val="ar-SA" w:bidi="ar-SA"/>
              </w:rPr>
              <w:t>[يحدد البديل وفق خطة الاستمرارية]</w:t>
            </w:r>
          </w:p>
        </w:tc>
        <w:tc>
          <w:tcPr>
            <w:tcW w:type="dxa" w:w="2448"/>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7"/>
                <w:lang w:val="ar-SA" w:bidi="ar-SA"/>
              </w:rPr>
              <w:t>بديل الوظيفة عند الغياب</w:t>
            </w:r>
          </w:p>
        </w:tc>
      </w:tr>
    </w:tbl>
    <w:p>
      <w:pPr>
        <w:pStyle w:val="Heading1"/>
        <w:jc w:val="right"/>
        <w:bidi w:val="1"/>
      </w:pPr>
      <w:r/>
      <w:r>
        <w:rPr>
          <w:rFonts w:ascii="DejaVu Sans" w:hAnsi="DejaVu Sans" w:cs="DejaVu Sans" w:eastAsia="DejaVu Sans"/>
          <w:b/>
          <w:color w:val="087F5B"/>
          <w:sz w:val="31"/>
          <w:lang w:val="ar-SA" w:bidi="ar-SA"/>
        </w:rPr>
        <w:t>18. ظروف ومتطلبات العمل</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عمل مكتبي أو مركز اتصال وقد يشمل ورديات.</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تعامل مستمر مع العملاء ومواقف انفعالية.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استخدام سماعات وأنظمة رقمية لفترات ممتدة.</w:t>
      </w:r>
    </w:p>
    <w:p>
      <w:pPr>
        <w:spacing w:after="40" w:line="252" w:lineRule="auto"/>
        <w:ind w:right="173" w:hanging="173"/>
        <w:jc w:val="right"/>
        <w:bidi w:val="1"/>
      </w:pPr>
      <w:r>
        <w:rPr>
          <w:rFonts w:ascii="DejaVu Sans" w:hAnsi="DejaVu Sans" w:cs="DejaVu Sans" w:eastAsia="DejaVu Sans"/>
          <w:b/>
          <w:color w:val="1F2937"/>
          <w:sz w:val="18"/>
          <w:lang w:val="ar-SA" w:bidi="ar-SA"/>
        </w:rPr>
        <w:t xml:space="preserve">• </w:t>
      </w:r>
      <w:r>
        <w:rPr>
          <w:rFonts w:ascii="DejaVu Sans" w:hAnsi="DejaVu Sans" w:cs="DejaVu Sans" w:eastAsia="DejaVu Sans"/>
          <w:b w:val="0"/>
          <w:color w:val="1F2937"/>
          <w:sz w:val="18"/>
          <w:lang w:val="ar-SA" w:bidi="ar-SA"/>
        </w:rPr>
        <w:t>قد تتغير أوقات العمل حسب ساعات الخدمة.</w:t>
      </w:r>
    </w:p>
    <w:p>
      <w:pPr>
        <w:pStyle w:val="Heading1"/>
        <w:jc w:val="right"/>
        <w:bidi w:val="1"/>
      </w:pPr>
      <w:r/>
      <w:r>
        <w:rPr>
          <w:rFonts w:ascii="DejaVu Sans" w:hAnsi="DejaVu Sans" w:cs="DejaVu Sans" w:eastAsia="DejaVu Sans"/>
          <w:b/>
          <w:color w:val="087F5B"/>
          <w:sz w:val="31"/>
          <w:lang w:val="ar-SA" w:bidi="ar-SA"/>
        </w:rPr>
        <w:t>19. قائمة التخصيص قبل الاعتماد</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تأكيد المسمى والدرجة والعائلة الوظيفية وموقع الوظيفة في الهيكل.</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التحقق من أن المسؤوليات تعكس العمل الفعلي ولا تتداخل جوهريًا مع وظيفة أخرى.</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نطاق الأثر: العملاء/المعاملات/المشاريع/الإدارات/المواقع بحسب الدور.</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تحديد الصلاحيات وحدود القرار والتصعيد وفق مصفوفة الصلاحيات.</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المؤهل والخبرة لتجنب اشتراطات أعلى من الحاجة الفعلية.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اعتماد المهارات والكفاءات ومستويات الإتقان قبل الإعلان أو التقييم.</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تحويل KPIs الاسترشادية إلى مستهدفات قابلة للقياس.</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ظروف العمل واللغة والسفر والمتطلبات المهنية الخاصة.</w:t>
      </w:r>
    </w:p>
    <w:p>
      <w:pPr>
        <w:spacing w:after="40" w:line="252" w:lineRule="auto"/>
        <w:ind w:right="173" w:hanging="173"/>
        <w:jc w:val="right"/>
        <w:bidi w:val="1"/>
      </w:pPr>
      <w:r>
        <w:rPr>
          <w:rFonts w:ascii="DejaVu Sans" w:hAnsi="DejaVu Sans" w:cs="DejaVu Sans" w:eastAsia="DejaVu Sans"/>
          <w:b/>
          <w:color w:val="1F2937"/>
          <w:sz w:val="17"/>
          <w:lang w:val="ar-SA" w:bidi="ar-SA"/>
        </w:rPr>
        <w:t xml:space="preserve">• </w:t>
      </w:r>
      <w:r>
        <w:rPr>
          <w:rFonts w:ascii="DejaVu Sans" w:hAnsi="DejaVu Sans" w:cs="DejaVu Sans" w:eastAsia="DejaVu Sans"/>
          <w:b w:val="0"/>
          <w:color w:val="1F2937"/>
          <w:sz w:val="17"/>
          <w:lang w:val="ar-SA" w:bidi="ar-SA"/>
        </w:rPr>
        <w:t>مراجعة الوصف مع المدير المباشر والموارد البشرية وصاحب الصلاحية.</w:t>
      </w:r>
    </w:p>
    <w:p>
      <w:pPr>
        <w:pStyle w:val="Heading1"/>
        <w:jc w:val="right"/>
        <w:bidi w:val="1"/>
      </w:pPr>
      <w:r/>
      <w:r>
        <w:rPr>
          <w:rFonts w:ascii="DejaVu Sans" w:hAnsi="DejaVu Sans" w:cs="DejaVu Sans" w:eastAsia="DejaVu Sans"/>
          <w:b/>
          <w:color w:val="087F5B"/>
          <w:sz w:val="31"/>
          <w:lang w:val="ar-SA" w:bidi="ar-SA"/>
        </w:rPr>
        <w:t>20. سجل الاعتماد</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482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الاسم / المسمى</w:t>
            </w:r>
          </w:p>
        </w:tc>
        <w:tc>
          <w:tcPr>
            <w:tcW w:type="dxa" w:w="252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الإجراء</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أعد الوصف</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راجعه المدير المباشر</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راجعته الموارد البشرية</w:t>
            </w:r>
          </w:p>
        </w:tc>
      </w:tr>
      <w:tr>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482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[الاسم/المسمى]</w:t>
            </w:r>
          </w:p>
        </w:tc>
        <w:tc>
          <w:tcPr>
            <w:tcW w:type="dxa" w:w="252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اعتمده صاحب الصلاحية</w:t>
            </w:r>
          </w:p>
        </w:tc>
      </w:tr>
    </w:tbl>
    <w:p>
      <w:pPr>
        <w:pStyle w:val="Heading1"/>
        <w:jc w:val="right"/>
        <w:bidi w:val="1"/>
      </w:pPr>
      <w:r/>
      <w:r>
        <w:rPr>
          <w:rFonts w:ascii="DejaVu Sans" w:hAnsi="DejaVu Sans" w:cs="DejaVu Sans" w:eastAsia="DejaVu Sans"/>
          <w:b/>
          <w:color w:val="087F5B"/>
          <w:sz w:val="31"/>
          <w:lang w:val="ar-SA" w:bidi="ar-SA"/>
        </w:rPr>
        <w:t>21. سجل التعديلات</w:t>
      </w:r>
    </w:p>
    <w:tbl>
      <w:tblPr>
        <w:tblStyle w:val="TableGrid"/>
        <w:tblW w:type="auto" w:w="0"/>
        <w:jc w:val="center"/>
        <w:tblLayout w:type="fixed"/>
        <w:tblLook w:firstColumn="1" w:firstRow="1" w:lastColumn="0" w:lastRow="0" w:noHBand="0" w:noVBand="1" w:val="04A0"/>
      </w:tblPr>
      <w:tblGrid>
        <w:gridCol w:w="3264"/>
        <w:gridCol w:w="3264"/>
        <w:gridCol w:w="3264"/>
      </w:tblGrid>
      <w:tr>
        <w:trPr>
          <w:tblHeader w:val="true"/>
        </w:trPr>
        <w:tc>
          <w:tcPr>
            <w:tcW w:type="dxa" w:w="5904"/>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وصف التعديل</w:t>
            </w:r>
          </w:p>
        </w:tc>
        <w:tc>
          <w:tcPr>
            <w:tcW w:type="dxa" w:w="2016"/>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التاريخ</w:t>
            </w:r>
          </w:p>
        </w:tc>
        <w:tc>
          <w:tcPr>
            <w:tcW w:type="dxa" w:w="1440"/>
            <w:shd w:fill="17243A"/>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FFFFFF"/>
                <w:sz w:val="18"/>
                <w:lang w:val="ar-SA" w:bidi="ar-SA"/>
              </w:rPr>
              <w:t>الإصدار</w:t>
            </w:r>
          </w:p>
        </w:tc>
      </w:tr>
      <w:tr>
        <w:tc>
          <w:tcPr>
            <w:tcW w:type="dxa" w:w="5904"/>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[وصف التعديل]</w:t>
            </w:r>
          </w:p>
        </w:tc>
        <w:tc>
          <w:tcPr>
            <w:tcW w:type="dxa" w:w="2016"/>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0563C1"/>
                <w:sz w:val="16"/>
                <w:lang w:val="ar-SA" w:bidi="ar-SA"/>
              </w:rPr>
              <w:t>[التاريخ]</w:t>
            </w:r>
          </w:p>
        </w:tc>
        <w:tc>
          <w:tcPr>
            <w:tcW w:type="dxa" w:w="1440"/>
            <w:vAlign w:val="center"/>
            <w:tcMar>
              <w:top w:w="75" w:type="dxa"/>
              <w:start w:w="100" w:type="dxa"/>
              <w:bottom w:w="75" w:type="dxa"/>
              <w:end w:w="100" w:type="dxa"/>
            </w:tcMar>
            <w:tcBorders>
              <w:top w:val="single" w:sz="6" w:color="30343B"/>
              <w:bottom w:val="single" w:sz="6" w:color="30343B"/>
              <w:left w:val="single" w:sz="6" w:color="30343B"/>
              <w:right w:val="single" w:sz="6" w:color="30343B"/>
            </w:tcBorders>
          </w:tcPr>
          <w:p>
            <w:pPr>
              <w:spacing w:after="0" w:line="240" w:lineRule="auto"/>
              <w:jc w:val="right"/>
              <w:bidi w:val="1"/>
            </w:pPr>
            <w:r/>
            <w:r>
              <w:rPr>
                <w:rFonts w:ascii="DejaVu Sans" w:hAnsi="DejaVu Sans" w:cs="DejaVu Sans" w:eastAsia="DejaVu Sans"/>
                <w:b w:val="0"/>
                <w:color w:val="1F2937"/>
                <w:sz w:val="16"/>
                <w:lang w:val="ar-SA" w:bidi="ar-SA"/>
              </w:rPr>
              <w:t>1.0</w:t>
            </w:r>
          </w:p>
        </w:tc>
      </w:tr>
    </w:tbl>
    <w:tbl>
      <w:tblPr>
        <w:tblW w:type="auto" w:w="0"/>
        <w:jc w:val="center"/>
        <w:tblLook w:firstColumn="1" w:firstRow="1" w:lastColumn="0" w:lastRow="0" w:noHBand="0" w:noVBand="1" w:val="04A0"/>
      </w:tblPr>
      <w:tblGrid>
        <w:gridCol w:w="9792"/>
      </w:tblGrid>
      <w:tr>
        <w:tc>
          <w:tcPr>
            <w:tcW w:type="dxa" w:w="9792"/>
            <w:shd w:fill="E8F5F0"/>
            <w:tcBorders>
              <w:top w:val="single" w:sz="6" w:color="30343B"/>
              <w:bottom w:val="single" w:sz="6" w:color="30343B"/>
              <w:left w:val="single" w:sz="6" w:color="30343B"/>
              <w:right w:val="single" w:sz="6" w:color="30343B"/>
            </w:tcBorders>
            <w:tcMar>
              <w:top w:w="100" w:type="dxa"/>
              <w:start w:w="120" w:type="dxa"/>
              <w:bottom w:w="100" w:type="dxa"/>
              <w:end w:w="120" w:type="dxa"/>
            </w:tcMar>
          </w:tcPr>
          <w:p>
            <w:pPr>
              <w:spacing w:after="0"/>
              <w:jc w:val="right"/>
              <w:bidi w:val="1"/>
            </w:pPr>
            <w:r/>
            <w:r>
              <w:rPr>
                <w:rFonts w:ascii="DejaVu Sans" w:hAnsi="DejaVu Sans" w:cs="DejaVu Sans" w:eastAsia="DejaVu Sans"/>
                <w:b/>
                <w:color w:val="087F5B"/>
                <w:sz w:val="19"/>
                <w:lang w:val="ar-SA" w:bidi="ar-SA"/>
              </w:rPr>
              <w:t xml:space="preserve">مرجعيات التخصيص: </w:t>
            </w:r>
            <w:r>
              <w:rPr>
                <w:rFonts w:ascii="DejaVu Sans" w:hAnsi="DejaVu Sans" w:cs="DejaVu Sans" w:eastAsia="DejaVu Sans"/>
                <w:b w:val="0"/>
                <w:color w:val="1F2937"/>
                <w:sz w:val="19"/>
                <w:lang w:val="ar-SA" w:bidi="ar-SA"/>
              </w:rPr>
              <w:t>الهيكل التنظيمي، معمارية الوظائف والدرجات، مصفوفة الصلاحيات، السياسات والإجراءات الداخلية، المتطلبات المهنية، والأنظمة واللوائح ذات العلاقة بحسب ما ينطبق.</w:t>
            </w:r>
          </w:p>
        </w:tc>
      </w:tr>
    </w:tbl>
    <w:p>
      <w:pPr>
        <w:spacing w:after="0"/>
      </w:pPr>
    </w:p>
    <w:sectPr w:rsidR="00FC693F" w:rsidRPr="0006063C" w:rsidSect="00034616">
      <w:headerReference w:type="default" r:id="rId9"/>
      <w:footerReference w:type="default" r:id="rId10"/>
      <w:pgSz w:w="12240" w:h="15840"/>
      <w:pgMar w:top="1080" w:right="1224" w:bottom="1080" w:left="1224"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bidi w:val="1"/>
    </w:pPr>
    <w:r/>
    <w:r>
      <w:rPr>
        <w:rFonts w:ascii="DejaVu Sans" w:hAnsi="DejaVu Sans" w:cs="DejaVu Sans" w:eastAsia="DejaVu Sans"/>
        <w:b w:val="0"/>
        <w:color w:val="667085"/>
        <w:sz w:val="18"/>
        <w:lang w:val="ar-SA" w:bidi="ar-SA"/>
      </w:rPr>
      <w:t xml:space="preserve">صفحة </w:t>
    </w:r>
    <w:r>
      <w:rPr>
        <w:rFonts w:ascii="DejaVu Sans" w:hAnsi="DejaVu Sans" w:cs="DejaVu Sans" w:eastAsia="DejaVu Sans"/>
        <w:b w:val="0"/>
        <w:color w:val="667085"/>
        <w:sz w:val="18"/>
        <w:lang w:val="ar-SA" w:bidi="ar-SA"/>
      </w:rPr>
      <w:fldChar w:fldCharType="begin"/>
      <w:instrText xml:space="preserve"> PAGE </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bidi w:val="1"/>
    </w:pPr>
    <w:r/>
    <w:r>
      <w:rPr>
        <w:rFonts w:ascii="DejaVu Sans" w:hAnsi="DejaVu Sans" w:cs="DejaVu Sans" w:eastAsia="DejaVu Sans"/>
        <w:b w:val="0"/>
        <w:color w:val="087F5B"/>
        <w:sz w:val="18"/>
        <w:lang w:val="ar-SA" w:bidi="ar-SA"/>
      </w:rPr>
      <w:t>مجد | نموذج وصف وظيفي | ممثل خدمة عملاء</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jc w:val="right"/>
    </w:pPr>
    <w:rPr>
      <w:rFonts w:ascii="DejaVu Sans" w:hAnsi="DejaVu Sans"/>
      <w:color w:val="1F2937"/>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80" w:after="100"/>
      <w:jc w:val="right"/>
      <w:outlineLvl w:val="0"/>
    </w:pPr>
    <w:rPr>
      <w:rFonts w:asciiTheme="majorHAnsi" w:eastAsiaTheme="majorEastAsia" w:hAnsiTheme="majorHAnsi" w:cstheme="majorBidi" w:ascii="DejaVu Sans" w:hAnsi="DejaVu Sans"/>
      <w:b/>
      <w:bCs/>
      <w:color w:val="087F5B"/>
      <w:sz w:val="31"/>
      <w:szCs w:val="28"/>
    </w:rPr>
  </w:style>
  <w:style w:type="paragraph" w:styleId="Heading2">
    <w:name w:val="heading 2"/>
    <w:basedOn w:val="Normal"/>
    <w:next w:val="Normal"/>
    <w:link w:val="Heading2Char"/>
    <w:uiPriority w:val="9"/>
    <w:unhideWhenUsed/>
    <w:qFormat/>
    <w:rsid w:val="00FC693F"/>
    <w:pPr>
      <w:keepNext/>
      <w:keepLines/>
      <w:spacing w:before="180" w:after="100"/>
      <w:jc w:val="right"/>
      <w:outlineLvl w:val="1"/>
    </w:pPr>
    <w:rPr>
      <w:rFonts w:asciiTheme="majorHAnsi" w:eastAsiaTheme="majorEastAsia" w:hAnsiTheme="majorHAnsi" w:cstheme="majorBidi" w:ascii="DejaVu Sans" w:hAnsi="DejaVu Sans"/>
      <w:b/>
      <w:bCs/>
      <w:color w:val="087F5B"/>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